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21" w:rsidRPr="00320E59" w:rsidRDefault="00F52C21" w:rsidP="00F52C21">
      <w:pPr>
        <w:jc w:val="both"/>
        <w:outlineLvl w:val="0"/>
        <w:rPr>
          <w:rFonts w:ascii="Arial" w:hAnsi="Arial" w:cs="Arial"/>
          <w:sz w:val="36"/>
          <w:szCs w:val="36"/>
          <w:lang w:val="en-GB"/>
        </w:rPr>
      </w:pPr>
      <w:bookmarkStart w:id="0" w:name="_GoBack"/>
      <w:bookmarkEnd w:id="0"/>
      <w:r w:rsidRPr="00320E59">
        <w:rPr>
          <w:rFonts w:ascii="Arial" w:hAnsi="Arial" w:cs="Arial"/>
          <w:sz w:val="36"/>
          <w:szCs w:val="36"/>
          <w:lang w:val="en-GB"/>
        </w:rPr>
        <w:t>Microsoft Nonprofit Program Eligibility</w:t>
      </w:r>
    </w:p>
    <w:p w:rsidR="00F52C21" w:rsidRPr="00320E59" w:rsidRDefault="00F52C21" w:rsidP="00F52C21">
      <w:pPr>
        <w:jc w:val="both"/>
        <w:outlineLvl w:val="0"/>
        <w:rPr>
          <w:rFonts w:ascii="Arial" w:hAnsi="Arial" w:cs="Arial"/>
          <w:sz w:val="36"/>
          <w:szCs w:val="36"/>
          <w:lang w:val="en-GB"/>
        </w:rPr>
      </w:pPr>
      <w:r w:rsidRPr="00320E59">
        <w:rPr>
          <w:rFonts w:ascii="Arial" w:hAnsi="Arial" w:cs="Arial"/>
          <w:sz w:val="36"/>
          <w:szCs w:val="36"/>
          <w:lang w:val="en-GB"/>
        </w:rPr>
        <w:t>Germany</w:t>
      </w:r>
    </w:p>
    <w:p w:rsidR="00F52C21" w:rsidRPr="00320E59" w:rsidRDefault="00F52C21" w:rsidP="00F52C21">
      <w:pPr>
        <w:jc w:val="both"/>
        <w:rPr>
          <w:rFonts w:ascii="Arial" w:hAnsi="Arial" w:cs="Arial"/>
          <w:iCs/>
          <w:sz w:val="22"/>
          <w:szCs w:val="22"/>
          <w:lang w:val="en-GB"/>
        </w:rPr>
      </w:pPr>
    </w:p>
    <w:p w:rsidR="00F52C21" w:rsidRPr="00320E59" w:rsidRDefault="00F52C21" w:rsidP="00F52C21">
      <w:pPr>
        <w:jc w:val="both"/>
        <w:rPr>
          <w:rFonts w:ascii="Arial" w:hAnsi="Arial" w:cs="Arial"/>
          <w:iCs/>
          <w:sz w:val="20"/>
          <w:szCs w:val="20"/>
          <w:lang w:val="en-GB"/>
        </w:rPr>
      </w:pPr>
      <w:r w:rsidRPr="00320E59">
        <w:rPr>
          <w:rFonts w:ascii="Arial" w:hAnsi="Arial" w:cs="Arial"/>
          <w:iCs/>
          <w:sz w:val="20"/>
          <w:szCs w:val="20"/>
          <w:lang w:val="en-GB"/>
        </w:rPr>
        <w:t xml:space="preserve">Microsoft offers donated and discounted product licenses through a variety of nonprofit programs available to eligible nonprofit organizations. These programs include the Microsoft Software Donation program, Office 365 for Nonprofits, and Microsoft Volume Licensing for Nonprofits.  Not all programs are available in every country. </w:t>
      </w:r>
    </w:p>
    <w:p w:rsidR="00F52C21" w:rsidRPr="00320E59" w:rsidRDefault="00F52C21" w:rsidP="00F52C21">
      <w:pPr>
        <w:jc w:val="both"/>
        <w:rPr>
          <w:rFonts w:ascii="Arial" w:hAnsi="Arial" w:cs="Arial"/>
          <w:iCs/>
          <w:sz w:val="20"/>
          <w:szCs w:val="20"/>
          <w:lang w:val="en-GB"/>
        </w:rPr>
      </w:pPr>
      <w:r w:rsidRPr="00320E59">
        <w:rPr>
          <w:rFonts w:ascii="Arial" w:hAnsi="Arial" w:cs="Arial"/>
          <w:iCs/>
          <w:sz w:val="20"/>
          <w:szCs w:val="20"/>
          <w:lang w:val="en-GB"/>
        </w:rPr>
        <w:t xml:space="preserve">Microsoft makes eligibility determinations at its sole discretion and uses the categories and definitions below as guidelines in making such determinations. These guidelines may change at any time without notice. The latest version of these eligibility guidelines is available at the </w:t>
      </w:r>
      <w:hyperlink r:id="rId5" w:anchor="tab=4" w:history="1">
        <w:r w:rsidRPr="00320E59">
          <w:rPr>
            <w:rStyle w:val="Hyperlink"/>
            <w:rFonts w:ascii="Arial" w:hAnsi="Arial" w:cs="Arial"/>
            <w:iCs/>
            <w:sz w:val="20"/>
            <w:szCs w:val="20"/>
            <w:lang w:val="en-GB"/>
          </w:rPr>
          <w:t>Microsoft Volume Licensing</w:t>
        </w:r>
      </w:hyperlink>
      <w:r w:rsidRPr="00320E59">
        <w:rPr>
          <w:rFonts w:ascii="Arial" w:hAnsi="Arial" w:cs="Arial"/>
          <w:iCs/>
          <w:sz w:val="20"/>
          <w:szCs w:val="20"/>
          <w:lang w:val="en-GB"/>
        </w:rPr>
        <w:t xml:space="preserve"> website.</w:t>
      </w:r>
    </w:p>
    <w:p w:rsidR="00F52C21" w:rsidRPr="00320E59" w:rsidRDefault="00F52C21" w:rsidP="00F52C21">
      <w:pPr>
        <w:jc w:val="both"/>
        <w:rPr>
          <w:rFonts w:ascii="Arial" w:hAnsi="Arial" w:cs="Arial"/>
          <w:iCs/>
          <w:sz w:val="20"/>
          <w:szCs w:val="20"/>
          <w:lang w:val="en-GB"/>
        </w:rPr>
      </w:pPr>
    </w:p>
    <w:p w:rsidR="00F52C21" w:rsidRPr="00320E59" w:rsidRDefault="00F52C21" w:rsidP="00F52C21">
      <w:pPr>
        <w:jc w:val="both"/>
        <w:rPr>
          <w:rFonts w:ascii="Arial" w:hAnsi="Arial" w:cs="Arial"/>
          <w:sz w:val="20"/>
          <w:szCs w:val="20"/>
        </w:rPr>
      </w:pPr>
      <w:r w:rsidRPr="00320E59">
        <w:rPr>
          <w:rFonts w:ascii="Arial" w:hAnsi="Arial" w:cs="Arial"/>
          <w:noProof/>
          <w:sz w:val="20"/>
          <w:szCs w:val="20"/>
          <w:lang w:eastAsia="en-US"/>
        </w:rPr>
        <mc:AlternateContent>
          <mc:Choice Requires="wps">
            <w:drawing>
              <wp:inline distT="0" distB="0" distL="0" distR="0" wp14:anchorId="77EDE906" wp14:editId="7D118EE6">
                <wp:extent cx="6019800" cy="2503170"/>
                <wp:effectExtent l="0" t="0" r="57150" b="4953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503170"/>
                        </a:xfrm>
                        <a:prstGeom prst="rect">
                          <a:avLst/>
                        </a:prstGeom>
                        <a:solidFill>
                          <a:srgbClr val="FFFFFF"/>
                        </a:solidFill>
                        <a:ln w="6350">
                          <a:solidFill>
                            <a:srgbClr val="000000"/>
                          </a:solidFill>
                          <a:miter lim="800000"/>
                          <a:headEnd/>
                          <a:tailEnd/>
                        </a:ln>
                        <a:effectLst>
                          <a:outerShdw dist="35921" dir="2700000" algn="ctr" rotWithShape="0">
                            <a:srgbClr val="868686"/>
                          </a:outerShdw>
                        </a:effectLst>
                      </wps:spPr>
                      <wps:txbx>
                        <w:txbxContent>
                          <w:p w:rsidR="00F52C21" w:rsidRDefault="00F52C21" w:rsidP="00F52C21">
                            <w:pPr>
                              <w:outlineLvl w:val="0"/>
                              <w:rPr>
                                <w:rFonts w:ascii="Arial" w:hAnsi="Arial" w:cs="Arial"/>
                                <w:sz w:val="20"/>
                                <w:szCs w:val="20"/>
                              </w:rPr>
                            </w:pPr>
                            <w:bookmarkStart w:id="1" w:name="_Toc356903483"/>
                          </w:p>
                          <w:p w:rsidR="00F52C21" w:rsidRPr="00B517EE" w:rsidRDefault="00F52C21" w:rsidP="00F52C21">
                            <w:pPr>
                              <w:outlineLvl w:val="0"/>
                              <w:rPr>
                                <w:rFonts w:ascii="Segoe UI" w:hAnsi="Segoe UI" w:cs="Segoe UI"/>
                                <w:b/>
                                <w:sz w:val="28"/>
                                <w:szCs w:val="28"/>
                                <w:lang w:val="en-GB"/>
                              </w:rPr>
                            </w:pPr>
                            <w:r w:rsidRPr="00B517EE">
                              <w:rPr>
                                <w:rFonts w:ascii="Segoe UI" w:hAnsi="Segoe UI" w:cs="Segoe UI"/>
                                <w:b/>
                                <w:sz w:val="28"/>
                                <w:szCs w:val="28"/>
                                <w:lang w:val="en-GB"/>
                              </w:rPr>
                              <w:t>Microsoft Global Nonprofit Eligibility Policy</w:t>
                            </w:r>
                            <w:bookmarkEnd w:id="1"/>
                          </w:p>
                          <w:p w:rsidR="00F52C21" w:rsidRPr="00B517EE" w:rsidRDefault="00F52C21" w:rsidP="00F52C21">
                            <w:pPr>
                              <w:rPr>
                                <w:rFonts w:ascii="Segoe UI" w:hAnsi="Segoe UI" w:cs="Segoe UI"/>
                                <w:iCs/>
                                <w:sz w:val="20"/>
                                <w:szCs w:val="20"/>
                                <w:lang w:val="en-GB"/>
                              </w:rPr>
                            </w:pPr>
                            <w:r w:rsidRPr="00B517EE">
                              <w:rPr>
                                <w:rFonts w:ascii="Segoe UI" w:hAnsi="Segoe UI" w:cs="Segoe UI"/>
                                <w:iCs/>
                                <w:sz w:val="20"/>
                                <w:szCs w:val="20"/>
                                <w:lang w:val="en-GB"/>
                              </w:rPr>
                              <w:t xml:space="preserve">Nonprofit and non-governmental organizations must </w:t>
                            </w:r>
                            <w:r>
                              <w:rPr>
                                <w:rFonts w:ascii="Segoe UI" w:hAnsi="Segoe UI" w:cs="Segoe UI"/>
                                <w:iCs/>
                                <w:sz w:val="20"/>
                                <w:szCs w:val="20"/>
                                <w:lang w:val="en-GB"/>
                              </w:rPr>
                              <w:t xml:space="preserve">be </w:t>
                            </w:r>
                            <w:r w:rsidRPr="00B517EE">
                              <w:rPr>
                                <w:rFonts w:ascii="Segoe UI" w:hAnsi="Segoe UI" w:cs="Segoe UI"/>
                                <w:iCs/>
                                <w:sz w:val="20"/>
                                <w:szCs w:val="20"/>
                                <w:lang w:val="en-GB"/>
                              </w:rPr>
                              <w:t>recognized</w:t>
                            </w:r>
                            <w:r>
                              <w:rPr>
                                <w:rFonts w:ascii="Segoe UI" w:hAnsi="Segoe UI" w:cs="Segoe UI"/>
                                <w:iCs/>
                                <w:sz w:val="20"/>
                                <w:szCs w:val="20"/>
                                <w:lang w:val="en-GB"/>
                              </w:rPr>
                              <w:t xml:space="preserve"> as </w:t>
                            </w:r>
                            <w:r w:rsidRPr="00B517EE">
                              <w:rPr>
                                <w:rFonts w:ascii="Segoe UI" w:hAnsi="Segoe UI" w:cs="Segoe UI"/>
                                <w:iCs/>
                                <w:sz w:val="20"/>
                                <w:szCs w:val="20"/>
                                <w:lang w:val="en-GB"/>
                              </w:rPr>
                              <w:t xml:space="preserve">charitable </w:t>
                            </w:r>
                            <w:r>
                              <w:rPr>
                                <w:rFonts w:ascii="Segoe UI" w:hAnsi="Segoe UI" w:cs="Segoe UI"/>
                                <w:iCs/>
                                <w:sz w:val="20"/>
                                <w:szCs w:val="20"/>
                                <w:lang w:val="en-GB"/>
                              </w:rPr>
                              <w:t xml:space="preserve">organizations </w:t>
                            </w:r>
                            <w:r w:rsidRPr="00B517EE">
                              <w:rPr>
                                <w:rFonts w:ascii="Segoe UI" w:hAnsi="Segoe UI" w:cs="Segoe UI"/>
                                <w:iCs/>
                                <w:sz w:val="20"/>
                                <w:szCs w:val="20"/>
                                <w:lang w:val="en-GB"/>
                              </w:rPr>
                              <w:t xml:space="preserve">in their </w:t>
                            </w:r>
                            <w:r>
                              <w:rPr>
                                <w:rFonts w:ascii="Segoe UI" w:hAnsi="Segoe UI" w:cs="Segoe UI"/>
                                <w:iCs/>
                                <w:sz w:val="20"/>
                                <w:szCs w:val="20"/>
                                <w:lang w:val="en-GB"/>
                              </w:rPr>
                              <w:t xml:space="preserve">respective </w:t>
                            </w:r>
                            <w:r w:rsidRPr="00B517EE">
                              <w:rPr>
                                <w:rFonts w:ascii="Segoe UI" w:hAnsi="Segoe UI" w:cs="Segoe UI"/>
                                <w:iCs/>
                                <w:sz w:val="20"/>
                                <w:szCs w:val="20"/>
                                <w:lang w:val="en-GB"/>
                              </w:rPr>
                              <w:t xml:space="preserve">countries in order to be eligible for Microsoft </w:t>
                            </w:r>
                            <w:r>
                              <w:rPr>
                                <w:rFonts w:ascii="Segoe UI" w:hAnsi="Segoe UI" w:cs="Segoe UI"/>
                                <w:iCs/>
                                <w:sz w:val="20"/>
                                <w:szCs w:val="20"/>
                                <w:lang w:val="en-GB"/>
                              </w:rPr>
                              <w:t>N</w:t>
                            </w:r>
                            <w:r w:rsidRPr="00B517EE">
                              <w:rPr>
                                <w:rFonts w:ascii="Segoe UI" w:hAnsi="Segoe UI" w:cs="Segoe UI"/>
                                <w:iCs/>
                                <w:sz w:val="20"/>
                                <w:szCs w:val="20"/>
                                <w:lang w:val="en-GB"/>
                              </w:rPr>
                              <w:t xml:space="preserve">onprofit </w:t>
                            </w:r>
                            <w:r>
                              <w:rPr>
                                <w:rFonts w:ascii="Segoe UI" w:hAnsi="Segoe UI" w:cs="Segoe UI"/>
                                <w:iCs/>
                                <w:sz w:val="20"/>
                                <w:szCs w:val="20"/>
                                <w:lang w:val="en-GB"/>
                              </w:rPr>
                              <w:t>P</w:t>
                            </w:r>
                            <w:r w:rsidRPr="00B517EE">
                              <w:rPr>
                                <w:rFonts w:ascii="Segoe UI" w:hAnsi="Segoe UI" w:cs="Segoe UI"/>
                                <w:iCs/>
                                <w:sz w:val="20"/>
                                <w:szCs w:val="20"/>
                                <w:lang w:val="en-GB"/>
                              </w:rPr>
                              <w:t xml:space="preserve">rograms. Eligible organizations will operate on a not-for-profit basis and have a mission to benefit the local community that could include, but is not limited to: </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Providing relief to the poor</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Advancing education</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Improving social welfare</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Preserving culture</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Preserving or restoring the environment</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Promoting human rights</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Establishment of civil society</w:t>
                            </w:r>
                          </w:p>
                        </w:txbxContent>
                      </wps:txbx>
                      <wps:bodyPr rot="0" vert="horz" wrap="square" lIns="91440" tIns="45720" rIns="91440" bIns="45720" anchor="t" anchorCtr="0" upright="1">
                        <a:noAutofit/>
                      </wps:bodyPr>
                    </wps:wsp>
                  </a:graphicData>
                </a:graphic>
              </wp:inline>
            </w:drawing>
          </mc:Choice>
          <mc:Fallback>
            <w:pict>
              <v:rect w14:anchorId="77EDE906" id="Rectangle 2" o:spid="_x0000_s1026" style="width:474pt;height:1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" strokeweight=".5pt">
                <v:shadow on="t" color="#868686"/>
                <v:textbox>
                  <w:txbxContent>
                    <w:p w:rsidR="00F52C21" w:rsidRDefault="00F52C21" w:rsidP="00F52C21">
                      <w:pPr>
                        <w:outlineLvl w:val="0"/>
                        <w:rPr>
                          <w:rFonts w:ascii="Arial" w:hAnsi="Arial" w:cs="Arial"/>
                          <w:sz w:val="20"/>
                          <w:szCs w:val="20"/>
                        </w:rPr>
                      </w:pPr>
                      <w:bookmarkStart w:id="2" w:name="_Toc356903483"/>
                    </w:p>
                    <w:p w:rsidR="00F52C21" w:rsidRPr="00B517EE" w:rsidRDefault="00F52C21" w:rsidP="00F52C21">
                      <w:pPr>
                        <w:outlineLvl w:val="0"/>
                        <w:rPr>
                          <w:rFonts w:ascii="Segoe UI" w:hAnsi="Segoe UI" w:cs="Segoe UI"/>
                          <w:b/>
                          <w:sz w:val="28"/>
                          <w:szCs w:val="28"/>
                          <w:lang w:val="en-GB"/>
                        </w:rPr>
                      </w:pPr>
                      <w:r w:rsidRPr="00B517EE">
                        <w:rPr>
                          <w:rFonts w:ascii="Segoe UI" w:hAnsi="Segoe UI" w:cs="Segoe UI"/>
                          <w:b/>
                          <w:sz w:val="28"/>
                          <w:szCs w:val="28"/>
                          <w:lang w:val="en-GB"/>
                        </w:rPr>
                        <w:t>Microsoft Global Nonprofit Eligibility Policy</w:t>
                      </w:r>
                      <w:bookmarkEnd w:id="2"/>
                    </w:p>
                    <w:p w:rsidR="00F52C21" w:rsidRPr="00B517EE" w:rsidRDefault="00F52C21" w:rsidP="00F52C21">
                      <w:pPr>
                        <w:rPr>
                          <w:rFonts w:ascii="Segoe UI" w:hAnsi="Segoe UI" w:cs="Segoe UI"/>
                          <w:iCs/>
                          <w:sz w:val="20"/>
                          <w:szCs w:val="20"/>
                          <w:lang w:val="en-GB"/>
                        </w:rPr>
                      </w:pPr>
                      <w:r w:rsidRPr="00B517EE">
                        <w:rPr>
                          <w:rFonts w:ascii="Segoe UI" w:hAnsi="Segoe UI" w:cs="Segoe UI"/>
                          <w:iCs/>
                          <w:sz w:val="20"/>
                          <w:szCs w:val="20"/>
                          <w:lang w:val="en-GB"/>
                        </w:rPr>
                        <w:t xml:space="preserve">Nonprofit and non-governmental organizations must </w:t>
                      </w:r>
                      <w:r>
                        <w:rPr>
                          <w:rFonts w:ascii="Segoe UI" w:hAnsi="Segoe UI" w:cs="Segoe UI"/>
                          <w:iCs/>
                          <w:sz w:val="20"/>
                          <w:szCs w:val="20"/>
                          <w:lang w:val="en-GB"/>
                        </w:rPr>
                        <w:t xml:space="preserve">be </w:t>
                      </w:r>
                      <w:r w:rsidRPr="00B517EE">
                        <w:rPr>
                          <w:rFonts w:ascii="Segoe UI" w:hAnsi="Segoe UI" w:cs="Segoe UI"/>
                          <w:iCs/>
                          <w:sz w:val="20"/>
                          <w:szCs w:val="20"/>
                          <w:lang w:val="en-GB"/>
                        </w:rPr>
                        <w:t>recognized</w:t>
                      </w:r>
                      <w:r>
                        <w:rPr>
                          <w:rFonts w:ascii="Segoe UI" w:hAnsi="Segoe UI" w:cs="Segoe UI"/>
                          <w:iCs/>
                          <w:sz w:val="20"/>
                          <w:szCs w:val="20"/>
                          <w:lang w:val="en-GB"/>
                        </w:rPr>
                        <w:t xml:space="preserve"> as </w:t>
                      </w:r>
                      <w:r w:rsidRPr="00B517EE">
                        <w:rPr>
                          <w:rFonts w:ascii="Segoe UI" w:hAnsi="Segoe UI" w:cs="Segoe UI"/>
                          <w:iCs/>
                          <w:sz w:val="20"/>
                          <w:szCs w:val="20"/>
                          <w:lang w:val="en-GB"/>
                        </w:rPr>
                        <w:t xml:space="preserve">charitable </w:t>
                      </w:r>
                      <w:r>
                        <w:rPr>
                          <w:rFonts w:ascii="Segoe UI" w:hAnsi="Segoe UI" w:cs="Segoe UI"/>
                          <w:iCs/>
                          <w:sz w:val="20"/>
                          <w:szCs w:val="20"/>
                          <w:lang w:val="en-GB"/>
                        </w:rPr>
                        <w:t xml:space="preserve">organizations </w:t>
                      </w:r>
                      <w:r w:rsidRPr="00B517EE">
                        <w:rPr>
                          <w:rFonts w:ascii="Segoe UI" w:hAnsi="Segoe UI" w:cs="Segoe UI"/>
                          <w:iCs/>
                          <w:sz w:val="20"/>
                          <w:szCs w:val="20"/>
                          <w:lang w:val="en-GB"/>
                        </w:rPr>
                        <w:t xml:space="preserve">in their </w:t>
                      </w:r>
                      <w:r>
                        <w:rPr>
                          <w:rFonts w:ascii="Segoe UI" w:hAnsi="Segoe UI" w:cs="Segoe UI"/>
                          <w:iCs/>
                          <w:sz w:val="20"/>
                          <w:szCs w:val="20"/>
                          <w:lang w:val="en-GB"/>
                        </w:rPr>
                        <w:t xml:space="preserve">respective </w:t>
                      </w:r>
                      <w:r w:rsidRPr="00B517EE">
                        <w:rPr>
                          <w:rFonts w:ascii="Segoe UI" w:hAnsi="Segoe UI" w:cs="Segoe UI"/>
                          <w:iCs/>
                          <w:sz w:val="20"/>
                          <w:szCs w:val="20"/>
                          <w:lang w:val="en-GB"/>
                        </w:rPr>
                        <w:t xml:space="preserve">countries in order to be eligible for Microsoft </w:t>
                      </w:r>
                      <w:r>
                        <w:rPr>
                          <w:rFonts w:ascii="Segoe UI" w:hAnsi="Segoe UI" w:cs="Segoe UI"/>
                          <w:iCs/>
                          <w:sz w:val="20"/>
                          <w:szCs w:val="20"/>
                          <w:lang w:val="en-GB"/>
                        </w:rPr>
                        <w:t>N</w:t>
                      </w:r>
                      <w:r w:rsidRPr="00B517EE">
                        <w:rPr>
                          <w:rFonts w:ascii="Segoe UI" w:hAnsi="Segoe UI" w:cs="Segoe UI"/>
                          <w:iCs/>
                          <w:sz w:val="20"/>
                          <w:szCs w:val="20"/>
                          <w:lang w:val="en-GB"/>
                        </w:rPr>
                        <w:t xml:space="preserve">onprofit </w:t>
                      </w:r>
                      <w:r>
                        <w:rPr>
                          <w:rFonts w:ascii="Segoe UI" w:hAnsi="Segoe UI" w:cs="Segoe UI"/>
                          <w:iCs/>
                          <w:sz w:val="20"/>
                          <w:szCs w:val="20"/>
                          <w:lang w:val="en-GB"/>
                        </w:rPr>
                        <w:t>P</w:t>
                      </w:r>
                      <w:r w:rsidRPr="00B517EE">
                        <w:rPr>
                          <w:rFonts w:ascii="Segoe UI" w:hAnsi="Segoe UI" w:cs="Segoe UI"/>
                          <w:iCs/>
                          <w:sz w:val="20"/>
                          <w:szCs w:val="20"/>
                          <w:lang w:val="en-GB"/>
                        </w:rPr>
                        <w:t xml:space="preserve">rograms. Eligible organizations will operate on a not-for-profit basis and have a mission to benefit the local community that could include, but is not limited to: </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Providing relief to the poor</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Advancing education</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Improving social welfare</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Preserving culture</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Preserving or restoring the environment</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Promoting human rights</w:t>
                      </w:r>
                    </w:p>
                    <w:p w:rsidR="00F52C21" w:rsidRPr="00B517EE" w:rsidRDefault="00F52C21" w:rsidP="00F52C21">
                      <w:pPr>
                        <w:numPr>
                          <w:ilvl w:val="0"/>
                          <w:numId w:val="1"/>
                        </w:numPr>
                        <w:rPr>
                          <w:rFonts w:ascii="Segoe UI" w:hAnsi="Segoe UI" w:cs="Segoe UI"/>
                          <w:iCs/>
                          <w:sz w:val="20"/>
                          <w:szCs w:val="20"/>
                          <w:lang w:val="en-GB"/>
                        </w:rPr>
                      </w:pPr>
                      <w:r w:rsidRPr="00B517EE">
                        <w:rPr>
                          <w:rFonts w:ascii="Segoe UI" w:hAnsi="Segoe UI" w:cs="Segoe UI"/>
                          <w:iCs/>
                          <w:sz w:val="20"/>
                          <w:szCs w:val="20"/>
                          <w:lang w:val="en-GB"/>
                        </w:rPr>
                        <w:t>Establishment of civil society</w:t>
                      </w:r>
                    </w:p>
                  </w:txbxContent>
                </v:textbox>
                <w10:anchorlock/>
              </v:rect>
            </w:pict>
          </mc:Fallback>
        </mc:AlternateContent>
      </w:r>
    </w:p>
    <w:p w:rsidR="00F52C21" w:rsidRPr="00320E59" w:rsidRDefault="00F52C21" w:rsidP="00F52C21">
      <w:pPr>
        <w:jc w:val="both"/>
        <w:rPr>
          <w:rFonts w:ascii="Arial" w:hAnsi="Arial" w:cs="Arial"/>
          <w:noProof/>
          <w:lang w:eastAsia="en-US"/>
        </w:rPr>
      </w:pPr>
    </w:p>
    <w:p w:rsidR="00F52C21" w:rsidRPr="00320E59" w:rsidRDefault="00F52C21" w:rsidP="00F52C21">
      <w:pPr>
        <w:pStyle w:val="Heading1"/>
        <w:jc w:val="both"/>
        <w:rPr>
          <w:sz w:val="36"/>
          <w:szCs w:val="36"/>
        </w:rPr>
      </w:pPr>
      <w:r w:rsidRPr="00320E59">
        <w:rPr>
          <w:noProof/>
          <w:sz w:val="36"/>
          <w:szCs w:val="36"/>
          <w:lang w:eastAsia="en-US"/>
        </w:rPr>
        <w:t>Eligible Nonprofit Organizations</w:t>
      </w:r>
    </w:p>
    <w:p w:rsidR="00F52C21" w:rsidRPr="00320E59" w:rsidRDefault="00F52C21" w:rsidP="00F52C21">
      <w:pPr>
        <w:spacing w:after="60"/>
        <w:jc w:val="both"/>
        <w:rPr>
          <w:rFonts w:ascii="Arial" w:hAnsi="Arial" w:cs="Arial"/>
          <w:sz w:val="20"/>
          <w:szCs w:val="20"/>
        </w:rPr>
      </w:pPr>
      <w:bookmarkStart w:id="3" w:name="Qualifying501c3"/>
      <w:bookmarkEnd w:id="3"/>
      <w:r w:rsidRPr="00320E59">
        <w:rPr>
          <w:rFonts w:ascii="Arial" w:hAnsi="Arial" w:cs="Arial"/>
          <w:bCs/>
          <w:sz w:val="20"/>
          <w:szCs w:val="20"/>
        </w:rPr>
        <w:t>To qualify as an eligible nonprofit organization:</w:t>
      </w:r>
    </w:p>
    <w:p w:rsidR="00F52C21" w:rsidRPr="00320E59" w:rsidRDefault="00F52C21" w:rsidP="00F52C21">
      <w:pPr>
        <w:pStyle w:val="ListParagraph"/>
        <w:numPr>
          <w:ilvl w:val="0"/>
          <w:numId w:val="5"/>
        </w:numPr>
        <w:autoSpaceDE/>
        <w:autoSpaceDN/>
        <w:adjustRightInd/>
        <w:spacing w:after="60"/>
        <w:jc w:val="both"/>
        <w:rPr>
          <w:rFonts w:ascii="Arial" w:hAnsi="Arial" w:cs="Arial"/>
          <w:sz w:val="20"/>
          <w:szCs w:val="20"/>
        </w:rPr>
      </w:pPr>
      <w:r w:rsidRPr="00320E59">
        <w:rPr>
          <w:rFonts w:ascii="Arial" w:hAnsi="Arial" w:cs="Arial"/>
          <w:sz w:val="20"/>
          <w:szCs w:val="20"/>
        </w:rPr>
        <w:t xml:space="preserve">Associations, foundations and other non-profit legal entities that possess public benefit (Gemeinnützigkeit) or charitable (Mildtaetigkeit) status and operate on a not-for-profit basis with the aim of (i) providing relief to the poor, (ii) advancing education, (iii) advancing social and community welfare, (iv) advancing culture, (v) advancing the natural environment, or (vi) another purpose Microsoft deems beneficial to the community as a whole. </w:t>
      </w:r>
      <w:bookmarkStart w:id="4" w:name="PL"/>
      <w:bookmarkStart w:id="5" w:name="Additional_Types"/>
    </w:p>
    <w:p w:rsidR="00F52C21" w:rsidRPr="00320E59" w:rsidRDefault="00F52C21" w:rsidP="00F52C21">
      <w:pPr>
        <w:numPr>
          <w:ilvl w:val="0"/>
          <w:numId w:val="5"/>
        </w:numPr>
        <w:spacing w:after="60"/>
        <w:jc w:val="both"/>
        <w:rPr>
          <w:rFonts w:ascii="Arial" w:hAnsi="Arial" w:cs="Arial"/>
          <w:sz w:val="20"/>
          <w:szCs w:val="20"/>
        </w:rPr>
      </w:pPr>
      <w:r w:rsidRPr="00320E59">
        <w:rPr>
          <w:rFonts w:ascii="Arial" w:hAnsi="Arial" w:cs="Arial"/>
          <w:bCs/>
          <w:sz w:val="20"/>
          <w:szCs w:val="20"/>
        </w:rPr>
        <w:t>Public libraries</w:t>
      </w:r>
      <w:bookmarkEnd w:id="4"/>
      <w:r w:rsidRPr="00320E59">
        <w:rPr>
          <w:rFonts w:ascii="Arial" w:hAnsi="Arial" w:cs="Arial"/>
          <w:bCs/>
          <w:sz w:val="20"/>
          <w:szCs w:val="20"/>
        </w:rPr>
        <w:t xml:space="preserve"> may qualify as an eligible nonprofit organization without charitable status</w:t>
      </w:r>
      <w:r w:rsidRPr="00320E59">
        <w:rPr>
          <w:rFonts w:ascii="Arial" w:hAnsi="Arial" w:cs="Arial"/>
          <w:b/>
          <w:bCs/>
          <w:sz w:val="20"/>
          <w:szCs w:val="20"/>
        </w:rPr>
        <w:t xml:space="preserve"> </w:t>
      </w:r>
      <w:r w:rsidRPr="00320E59">
        <w:rPr>
          <w:rFonts w:ascii="Arial" w:hAnsi="Arial" w:cs="Arial"/>
          <w:b/>
          <w:bCs/>
          <w:i/>
          <w:sz w:val="20"/>
          <w:szCs w:val="20"/>
        </w:rPr>
        <w:t>only</w:t>
      </w:r>
      <w:r w:rsidRPr="00320E59">
        <w:rPr>
          <w:rFonts w:ascii="Arial" w:hAnsi="Arial" w:cs="Arial"/>
          <w:b/>
          <w:bCs/>
          <w:sz w:val="20"/>
          <w:szCs w:val="20"/>
        </w:rPr>
        <w:t xml:space="preserve"> </w:t>
      </w:r>
      <w:r w:rsidRPr="00320E59">
        <w:rPr>
          <w:rFonts w:ascii="Arial" w:hAnsi="Arial" w:cs="Arial"/>
          <w:sz w:val="20"/>
          <w:szCs w:val="20"/>
        </w:rPr>
        <w:t xml:space="preserve">for on-premises software donations and </w:t>
      </w:r>
      <w:r w:rsidRPr="00320E59">
        <w:rPr>
          <w:rFonts w:ascii="Arial" w:hAnsi="Arial" w:cs="Arial"/>
          <w:b/>
          <w:i/>
          <w:sz w:val="20"/>
          <w:szCs w:val="20"/>
        </w:rPr>
        <w:t>only</w:t>
      </w:r>
      <w:r w:rsidRPr="00320E59">
        <w:rPr>
          <w:rFonts w:ascii="Arial" w:hAnsi="Arial" w:cs="Arial"/>
          <w:i/>
          <w:sz w:val="20"/>
          <w:szCs w:val="20"/>
        </w:rPr>
        <w:t xml:space="preserve"> </w:t>
      </w:r>
      <w:r w:rsidRPr="00320E59">
        <w:rPr>
          <w:rFonts w:ascii="Arial" w:hAnsi="Arial" w:cs="Arial"/>
          <w:sz w:val="20"/>
          <w:szCs w:val="20"/>
        </w:rPr>
        <w:t>where such software is made</w:t>
      </w:r>
      <w:r w:rsidRPr="00320E59">
        <w:rPr>
          <w:rFonts w:ascii="Arial" w:hAnsi="Arial" w:cs="Arial"/>
          <w:i/>
          <w:sz w:val="20"/>
          <w:szCs w:val="20"/>
        </w:rPr>
        <w:t xml:space="preserve"> </w:t>
      </w:r>
      <w:r w:rsidRPr="00320E59">
        <w:rPr>
          <w:rFonts w:ascii="Arial" w:hAnsi="Arial" w:cs="Arial"/>
          <w:sz w:val="20"/>
          <w:szCs w:val="20"/>
        </w:rPr>
        <w:t xml:space="preserve">accessible to the general public.  Public libraries are the </w:t>
      </w:r>
      <w:r w:rsidRPr="00320E59">
        <w:rPr>
          <w:rFonts w:ascii="Arial" w:hAnsi="Arial" w:cs="Arial"/>
          <w:b/>
          <w:i/>
          <w:sz w:val="20"/>
          <w:szCs w:val="20"/>
        </w:rPr>
        <w:t>only</w:t>
      </w:r>
      <w:r w:rsidRPr="00320E59">
        <w:rPr>
          <w:rFonts w:ascii="Arial" w:hAnsi="Arial" w:cs="Arial"/>
          <w:sz w:val="20"/>
          <w:szCs w:val="20"/>
        </w:rPr>
        <w:t xml:space="preserve"> organizations that are eligible for on-premises software donations from Microsoft </w:t>
      </w:r>
      <w:r w:rsidRPr="00320E59">
        <w:rPr>
          <w:rFonts w:ascii="Arial" w:hAnsi="Arial" w:cs="Arial"/>
          <w:iCs/>
          <w:sz w:val="20"/>
          <w:szCs w:val="20"/>
        </w:rPr>
        <w:t xml:space="preserve">without obtaining </w:t>
      </w:r>
      <w:r w:rsidRPr="00320E59">
        <w:rPr>
          <w:rFonts w:ascii="Arial" w:hAnsi="Arial" w:cs="Arial"/>
          <w:bCs/>
          <w:sz w:val="20"/>
          <w:szCs w:val="20"/>
        </w:rPr>
        <w:t>charitable</w:t>
      </w:r>
      <w:r w:rsidRPr="00320E59">
        <w:rPr>
          <w:rFonts w:ascii="Arial" w:hAnsi="Arial" w:cs="Arial"/>
          <w:iCs/>
          <w:sz w:val="20"/>
          <w:szCs w:val="20"/>
        </w:rPr>
        <w:t xml:space="preserve"> status</w:t>
      </w:r>
      <w:r w:rsidRPr="00320E59">
        <w:rPr>
          <w:rFonts w:ascii="Arial" w:hAnsi="Arial" w:cs="Arial"/>
          <w:sz w:val="20"/>
          <w:szCs w:val="20"/>
        </w:rPr>
        <w:t xml:space="preserve">. This is because Microsoft has made a corporate commitment to supporting public/shared access computing in public libraries, regardless of whether they have obtained </w:t>
      </w:r>
      <w:r w:rsidRPr="00320E59">
        <w:rPr>
          <w:rFonts w:ascii="Arial" w:hAnsi="Arial" w:cs="Arial"/>
          <w:bCs/>
          <w:sz w:val="20"/>
          <w:szCs w:val="20"/>
        </w:rPr>
        <w:t>charitable</w:t>
      </w:r>
      <w:r w:rsidRPr="00320E59">
        <w:rPr>
          <w:rFonts w:ascii="Arial" w:hAnsi="Arial" w:cs="Arial"/>
          <w:sz w:val="20"/>
          <w:szCs w:val="20"/>
        </w:rPr>
        <w:t xml:space="preserve"> status.  Please visit the </w:t>
      </w:r>
      <w:hyperlink r:id="rId6" w:anchor="tab=2" w:history="1">
        <w:r w:rsidRPr="00320E59">
          <w:rPr>
            <w:rStyle w:val="Hyperlink"/>
            <w:rFonts w:ascii="Arial" w:hAnsi="Arial" w:cs="Arial"/>
            <w:sz w:val="20"/>
            <w:szCs w:val="20"/>
          </w:rPr>
          <w:t>Microsoft Volume Licensing</w:t>
        </w:r>
      </w:hyperlink>
      <w:r w:rsidRPr="00320E59">
        <w:rPr>
          <w:rFonts w:ascii="Arial" w:hAnsi="Arial" w:cs="Arial"/>
          <w:sz w:val="20"/>
          <w:szCs w:val="20"/>
        </w:rPr>
        <w:t xml:space="preserve"> website for more information about licensing programs for public library operations.</w:t>
      </w:r>
    </w:p>
    <w:p w:rsidR="00F52C21" w:rsidRPr="00320E59" w:rsidRDefault="00F52C21" w:rsidP="00F52C21">
      <w:pPr>
        <w:spacing w:after="60"/>
        <w:jc w:val="both"/>
        <w:rPr>
          <w:rFonts w:ascii="Arial" w:hAnsi="Arial" w:cs="Arial"/>
          <w:sz w:val="20"/>
          <w:szCs w:val="20"/>
        </w:rPr>
      </w:pPr>
    </w:p>
    <w:p w:rsidR="00F52C21" w:rsidRPr="00320E59" w:rsidRDefault="00F52C21" w:rsidP="00F52C21">
      <w:pPr>
        <w:spacing w:after="60"/>
        <w:jc w:val="both"/>
        <w:rPr>
          <w:rFonts w:ascii="Arial" w:hAnsi="Arial" w:cs="Arial"/>
          <w:sz w:val="20"/>
          <w:szCs w:val="20"/>
        </w:rPr>
      </w:pPr>
      <w:r w:rsidRPr="00320E59">
        <w:rPr>
          <w:rFonts w:ascii="Arial" w:hAnsi="Arial" w:cs="Arial"/>
          <w:bCs/>
          <w:sz w:val="20"/>
          <w:szCs w:val="20"/>
        </w:rPr>
        <w:t>The types of organizations eligible</w:t>
      </w:r>
      <w:r w:rsidRPr="00320E59">
        <w:rPr>
          <w:rFonts w:ascii="Arial" w:hAnsi="Arial" w:cs="Arial"/>
          <w:sz w:val="20"/>
          <w:szCs w:val="20"/>
        </w:rPr>
        <w:t xml:space="preserve"> for Microsoft Nonprofit Programs if they have obtained recognized charitable status may include</w:t>
      </w:r>
      <w:bookmarkEnd w:id="5"/>
      <w:r w:rsidRPr="00320E59">
        <w:rPr>
          <w:rFonts w:ascii="Arial" w:hAnsi="Arial" w:cs="Arial"/>
          <w:sz w:val="20"/>
          <w:szCs w:val="20"/>
        </w:rPr>
        <w:t>, without limitation:</w:t>
      </w:r>
    </w:p>
    <w:p w:rsidR="00F52C21" w:rsidRPr="00320E59" w:rsidRDefault="00F52C21" w:rsidP="00F52C21">
      <w:pPr>
        <w:numPr>
          <w:ilvl w:val="0"/>
          <w:numId w:val="2"/>
        </w:numPr>
        <w:tabs>
          <w:tab w:val="num" w:pos="1080"/>
        </w:tabs>
        <w:spacing w:after="60"/>
        <w:jc w:val="both"/>
        <w:rPr>
          <w:rFonts w:ascii="Arial" w:hAnsi="Arial" w:cs="Arial"/>
          <w:sz w:val="20"/>
          <w:szCs w:val="20"/>
        </w:rPr>
      </w:pPr>
      <w:r w:rsidRPr="00320E59">
        <w:rPr>
          <w:rFonts w:ascii="Arial" w:hAnsi="Arial" w:cs="Arial"/>
          <w:b/>
          <w:sz w:val="20"/>
          <w:szCs w:val="20"/>
        </w:rPr>
        <w:t>Health Services and Related Activities</w:t>
      </w:r>
      <w:r w:rsidRPr="00320E59">
        <w:rPr>
          <w:rFonts w:ascii="Arial" w:hAnsi="Arial" w:cs="Arial"/>
          <w:sz w:val="20"/>
          <w:szCs w:val="20"/>
        </w:rPr>
        <w:t xml:space="preserve"> that are independent and not owned and operated by organizations eligible for Microsoft Government, Academic or Health Programs:</w:t>
      </w:r>
    </w:p>
    <w:p w:rsidR="00F52C21" w:rsidRPr="00320E59" w:rsidRDefault="00F52C21" w:rsidP="00F52C21">
      <w:pPr>
        <w:numPr>
          <w:ilvl w:val="1"/>
          <w:numId w:val="2"/>
        </w:numPr>
        <w:tabs>
          <w:tab w:val="clear" w:pos="1080"/>
        </w:tabs>
        <w:ind w:left="720"/>
        <w:jc w:val="both"/>
        <w:rPr>
          <w:rFonts w:ascii="Arial" w:hAnsi="Arial" w:cs="Arial"/>
          <w:sz w:val="20"/>
          <w:szCs w:val="20"/>
        </w:rPr>
      </w:pPr>
      <w:r w:rsidRPr="00320E59">
        <w:rPr>
          <w:rFonts w:ascii="Arial" w:hAnsi="Arial" w:cs="Arial"/>
          <w:b/>
          <w:sz w:val="20"/>
          <w:szCs w:val="20"/>
        </w:rPr>
        <w:t>Community Health Clinics</w:t>
      </w:r>
      <w:r w:rsidRPr="00320E59">
        <w:rPr>
          <w:rFonts w:ascii="Arial" w:hAnsi="Arial" w:cs="Arial"/>
          <w:sz w:val="20"/>
          <w:szCs w:val="20"/>
        </w:rPr>
        <w:t xml:space="preserve"> - Outpatient facilities or free clinics established by a community (not hospitals or governments) that provide basic medical services for free or on an ability-to-pay basis and target low-income and indigent community residents.  Such clinics may also include voluntary health associations or clinics that employ only volunteer medical staff (other non-medical staff can be paid);</w:t>
      </w:r>
    </w:p>
    <w:p w:rsidR="00F52C21" w:rsidRPr="00320E59" w:rsidRDefault="00F52C21" w:rsidP="00F52C21">
      <w:pPr>
        <w:numPr>
          <w:ilvl w:val="1"/>
          <w:numId w:val="2"/>
        </w:numPr>
        <w:tabs>
          <w:tab w:val="clear" w:pos="1080"/>
        </w:tabs>
        <w:ind w:left="720"/>
        <w:jc w:val="both"/>
        <w:rPr>
          <w:rFonts w:ascii="Arial" w:hAnsi="Arial" w:cs="Arial"/>
          <w:sz w:val="20"/>
          <w:szCs w:val="20"/>
        </w:rPr>
      </w:pPr>
      <w:r w:rsidRPr="00320E59">
        <w:rPr>
          <w:rFonts w:ascii="Arial" w:hAnsi="Arial" w:cs="Arial"/>
          <w:b/>
          <w:sz w:val="20"/>
          <w:szCs w:val="20"/>
        </w:rPr>
        <w:lastRenderedPageBreak/>
        <w:t>Behavioral Healthcare</w:t>
      </w:r>
      <w:r w:rsidRPr="00320E59">
        <w:rPr>
          <w:rFonts w:ascii="Arial" w:hAnsi="Arial" w:cs="Arial"/>
          <w:sz w:val="20"/>
          <w:szCs w:val="20"/>
        </w:rPr>
        <w:t xml:space="preserve"> nonprofits that provide mental health, chemical dependency, mental retardation/developmental disabilities services, and other psychosocial services to the community;</w:t>
      </w:r>
    </w:p>
    <w:p w:rsidR="00F52C21" w:rsidRPr="00320E59" w:rsidRDefault="00F52C21" w:rsidP="00F52C21">
      <w:pPr>
        <w:numPr>
          <w:ilvl w:val="1"/>
          <w:numId w:val="2"/>
        </w:numPr>
        <w:tabs>
          <w:tab w:val="clear" w:pos="1080"/>
        </w:tabs>
        <w:ind w:left="720"/>
        <w:jc w:val="both"/>
        <w:rPr>
          <w:rFonts w:ascii="Arial" w:hAnsi="Arial" w:cs="Arial"/>
          <w:sz w:val="20"/>
          <w:szCs w:val="20"/>
        </w:rPr>
      </w:pPr>
      <w:r w:rsidRPr="00320E59">
        <w:rPr>
          <w:rFonts w:ascii="Arial" w:hAnsi="Arial" w:cs="Arial"/>
          <w:b/>
          <w:sz w:val="20"/>
          <w:szCs w:val="20"/>
        </w:rPr>
        <w:t>Women’s Health Centers</w:t>
      </w:r>
      <w:r w:rsidRPr="00320E59">
        <w:rPr>
          <w:rFonts w:ascii="Arial" w:hAnsi="Arial" w:cs="Arial"/>
          <w:sz w:val="20"/>
          <w:szCs w:val="20"/>
        </w:rPr>
        <w:t xml:space="preserve"> - Free-standing women’s health organizations with the main mission of treating medical or health issues of special concern to women because of their physiology or reproductive physiology, including diseases that affect only women or mainly women;</w:t>
      </w:r>
    </w:p>
    <w:p w:rsidR="00F52C21" w:rsidRPr="00320E59" w:rsidRDefault="00F52C21" w:rsidP="00F52C21">
      <w:pPr>
        <w:numPr>
          <w:ilvl w:val="1"/>
          <w:numId w:val="2"/>
        </w:numPr>
        <w:tabs>
          <w:tab w:val="clear" w:pos="1080"/>
        </w:tabs>
        <w:ind w:left="720"/>
        <w:jc w:val="both"/>
        <w:rPr>
          <w:rFonts w:ascii="Arial" w:hAnsi="Arial" w:cs="Arial"/>
          <w:sz w:val="20"/>
          <w:szCs w:val="20"/>
        </w:rPr>
      </w:pPr>
      <w:r w:rsidRPr="00320E59">
        <w:rPr>
          <w:rFonts w:ascii="Arial" w:hAnsi="Arial" w:cs="Arial"/>
          <w:b/>
          <w:sz w:val="20"/>
          <w:szCs w:val="20"/>
        </w:rPr>
        <w:t>Medical Research Organizations and Research Laboratories</w:t>
      </w:r>
      <w:r w:rsidRPr="00320E59">
        <w:rPr>
          <w:rFonts w:ascii="Arial" w:hAnsi="Arial" w:cs="Arial"/>
          <w:sz w:val="20"/>
          <w:szCs w:val="20"/>
        </w:rPr>
        <w:t xml:space="preserve"> – free-standing nonprofit organizations who undertake research into the prevention or treatment of human disease, congenital or genetic conditions;</w:t>
      </w:r>
    </w:p>
    <w:p w:rsidR="00F52C21" w:rsidRPr="00320E59" w:rsidRDefault="00F52C21" w:rsidP="00F52C21">
      <w:pPr>
        <w:numPr>
          <w:ilvl w:val="1"/>
          <w:numId w:val="2"/>
        </w:numPr>
        <w:tabs>
          <w:tab w:val="clear" w:pos="1080"/>
        </w:tabs>
        <w:ind w:left="720"/>
        <w:jc w:val="both"/>
        <w:rPr>
          <w:rFonts w:ascii="Arial" w:hAnsi="Arial" w:cs="Arial"/>
          <w:sz w:val="20"/>
          <w:szCs w:val="20"/>
        </w:rPr>
      </w:pPr>
      <w:r w:rsidRPr="00320E59">
        <w:rPr>
          <w:rFonts w:ascii="Arial" w:hAnsi="Arial" w:cs="Arial"/>
          <w:b/>
          <w:sz w:val="20"/>
          <w:szCs w:val="20"/>
        </w:rPr>
        <w:t>Hospices</w:t>
      </w:r>
      <w:r w:rsidRPr="00320E59">
        <w:rPr>
          <w:rFonts w:ascii="Arial" w:hAnsi="Arial" w:cs="Arial"/>
          <w:sz w:val="20"/>
          <w:szCs w:val="20"/>
        </w:rPr>
        <w:t xml:space="preserve"> – Free-standing nonprofit hospices that provide time-limited, end-of-life care intended to provide relief from suffering, treatment of pain and other distressing symptoms, psychological and spiritual care, a support system to sustain the individual’s family, and care and support for loved ones following a death; services may include pharmaceuticals, medical equipment, and 24 hour a day, seven day a week access to assistance and may be provided in the home, residential-care facility, or in a free-standing hospice residential facility;</w:t>
      </w:r>
    </w:p>
    <w:p w:rsidR="00F52C21" w:rsidRPr="00320E59" w:rsidRDefault="00F52C21" w:rsidP="00F52C21">
      <w:pPr>
        <w:numPr>
          <w:ilvl w:val="1"/>
          <w:numId w:val="2"/>
        </w:numPr>
        <w:tabs>
          <w:tab w:val="clear" w:pos="1080"/>
        </w:tabs>
        <w:ind w:left="720"/>
        <w:jc w:val="both"/>
        <w:rPr>
          <w:rFonts w:ascii="Arial" w:hAnsi="Arial" w:cs="Arial"/>
          <w:sz w:val="20"/>
          <w:szCs w:val="20"/>
        </w:rPr>
      </w:pPr>
      <w:r w:rsidRPr="00320E59">
        <w:rPr>
          <w:rFonts w:ascii="Arial" w:hAnsi="Arial" w:cs="Arial"/>
          <w:b/>
          <w:sz w:val="20"/>
          <w:szCs w:val="20"/>
        </w:rPr>
        <w:t>Rescue and Emergency Services</w:t>
      </w:r>
      <w:r w:rsidRPr="00320E59">
        <w:rPr>
          <w:rFonts w:ascii="Arial" w:hAnsi="Arial" w:cs="Arial"/>
          <w:sz w:val="20"/>
          <w:szCs w:val="20"/>
        </w:rPr>
        <w:t xml:space="preserve"> for pre-hospital emergency care and transport, emergency search and rescue operations, and disaster preparedness and relief services, including pre-disaster education work;</w:t>
      </w:r>
    </w:p>
    <w:p w:rsidR="00F52C21" w:rsidRPr="00320E59" w:rsidRDefault="00F52C21" w:rsidP="00F52C21">
      <w:pPr>
        <w:numPr>
          <w:ilvl w:val="1"/>
          <w:numId w:val="2"/>
        </w:numPr>
        <w:tabs>
          <w:tab w:val="clear" w:pos="1080"/>
        </w:tabs>
        <w:ind w:left="720"/>
        <w:jc w:val="both"/>
        <w:rPr>
          <w:rFonts w:ascii="Arial" w:hAnsi="Arial" w:cs="Arial"/>
          <w:sz w:val="20"/>
          <w:szCs w:val="20"/>
        </w:rPr>
      </w:pPr>
      <w:r w:rsidRPr="00320E59">
        <w:rPr>
          <w:rFonts w:ascii="Arial" w:hAnsi="Arial" w:cs="Arial"/>
          <w:b/>
          <w:sz w:val="20"/>
          <w:szCs w:val="20"/>
        </w:rPr>
        <w:t>Patient and Family Support</w:t>
      </w:r>
      <w:r w:rsidRPr="00320E59">
        <w:rPr>
          <w:rFonts w:ascii="Arial" w:hAnsi="Arial" w:cs="Arial"/>
          <w:sz w:val="20"/>
          <w:szCs w:val="20"/>
        </w:rPr>
        <w:t xml:space="preserve"> organizations that provide support services to patients and their families including social and recreational activities for people who are recovering from surgery or a serious illness;</w:t>
      </w:r>
    </w:p>
    <w:p w:rsidR="00F52C21" w:rsidRPr="00320E59" w:rsidRDefault="00F52C21" w:rsidP="00F52C21">
      <w:pPr>
        <w:numPr>
          <w:ilvl w:val="1"/>
          <w:numId w:val="2"/>
        </w:numPr>
        <w:tabs>
          <w:tab w:val="clear" w:pos="1080"/>
        </w:tabs>
        <w:spacing w:after="120"/>
        <w:ind w:left="720"/>
        <w:jc w:val="both"/>
        <w:rPr>
          <w:rFonts w:ascii="Arial" w:hAnsi="Arial" w:cs="Arial"/>
          <w:sz w:val="20"/>
          <w:szCs w:val="20"/>
        </w:rPr>
      </w:pPr>
      <w:r w:rsidRPr="00320E59">
        <w:rPr>
          <w:rFonts w:ascii="Arial" w:hAnsi="Arial" w:cs="Arial"/>
          <w:b/>
          <w:sz w:val="20"/>
          <w:szCs w:val="20"/>
        </w:rPr>
        <w:t>Blood Banks</w:t>
      </w:r>
      <w:r w:rsidRPr="00320E59">
        <w:rPr>
          <w:rFonts w:ascii="Arial" w:hAnsi="Arial" w:cs="Arial"/>
          <w:sz w:val="20"/>
          <w:szCs w:val="20"/>
        </w:rPr>
        <w:t>;</w:t>
      </w:r>
    </w:p>
    <w:p w:rsidR="00F52C21" w:rsidRPr="00320E59" w:rsidRDefault="00F52C21" w:rsidP="00F52C21">
      <w:pPr>
        <w:numPr>
          <w:ilvl w:val="0"/>
          <w:numId w:val="2"/>
        </w:numPr>
        <w:spacing w:after="60"/>
        <w:jc w:val="both"/>
        <w:rPr>
          <w:rFonts w:ascii="Arial" w:hAnsi="Arial" w:cs="Arial"/>
          <w:sz w:val="20"/>
          <w:szCs w:val="20"/>
        </w:rPr>
      </w:pPr>
      <w:r w:rsidRPr="00320E59">
        <w:rPr>
          <w:rFonts w:ascii="Arial" w:hAnsi="Arial" w:cs="Arial"/>
          <w:b/>
          <w:sz w:val="20"/>
          <w:szCs w:val="20"/>
        </w:rPr>
        <w:t>Trade Associations</w:t>
      </w:r>
      <w:r w:rsidRPr="00320E59">
        <w:rPr>
          <w:rFonts w:ascii="Arial" w:hAnsi="Arial" w:cs="Arial"/>
          <w:sz w:val="20"/>
          <w:szCs w:val="20"/>
        </w:rPr>
        <w:t xml:space="preserve"> with registered charity status that have charitable aims and activities benefitting non-members;</w:t>
      </w:r>
    </w:p>
    <w:p w:rsidR="00F52C21" w:rsidRPr="00320E59" w:rsidRDefault="00F52C21" w:rsidP="00F52C21">
      <w:pPr>
        <w:numPr>
          <w:ilvl w:val="0"/>
          <w:numId w:val="2"/>
        </w:numPr>
        <w:spacing w:after="60"/>
        <w:jc w:val="both"/>
        <w:rPr>
          <w:rFonts w:ascii="Arial" w:hAnsi="Arial" w:cs="Arial"/>
          <w:sz w:val="20"/>
          <w:szCs w:val="20"/>
        </w:rPr>
      </w:pPr>
      <w:r w:rsidRPr="00320E59">
        <w:rPr>
          <w:rFonts w:ascii="Arial" w:hAnsi="Arial" w:cs="Arial"/>
          <w:b/>
          <w:sz w:val="20"/>
          <w:szCs w:val="20"/>
        </w:rPr>
        <w:t>Amateur sports organizations</w:t>
      </w:r>
      <w:r w:rsidRPr="00320E59">
        <w:rPr>
          <w:rFonts w:ascii="Arial" w:hAnsi="Arial" w:cs="Arial"/>
          <w:sz w:val="20"/>
          <w:szCs w:val="20"/>
        </w:rPr>
        <w:t xml:space="preserve"> - Amateur sports clubs, team, or groups such as Youth Football Leagues;</w:t>
      </w:r>
    </w:p>
    <w:p w:rsidR="00F52C21" w:rsidRPr="00320E59" w:rsidRDefault="00F52C21" w:rsidP="00F52C21">
      <w:pPr>
        <w:numPr>
          <w:ilvl w:val="0"/>
          <w:numId w:val="2"/>
        </w:numPr>
        <w:spacing w:after="60"/>
        <w:jc w:val="both"/>
        <w:rPr>
          <w:rFonts w:ascii="Arial" w:hAnsi="Arial" w:cs="Arial"/>
          <w:sz w:val="20"/>
          <w:szCs w:val="20"/>
        </w:rPr>
      </w:pPr>
      <w:r w:rsidRPr="00320E59">
        <w:rPr>
          <w:rFonts w:ascii="Arial" w:hAnsi="Arial" w:cs="Arial"/>
          <w:b/>
          <w:sz w:val="20"/>
          <w:szCs w:val="20"/>
        </w:rPr>
        <w:t>Private Foundations</w:t>
      </w:r>
      <w:r w:rsidRPr="00320E59">
        <w:rPr>
          <w:rFonts w:ascii="Arial" w:hAnsi="Arial" w:cs="Arial"/>
          <w:sz w:val="20"/>
          <w:szCs w:val="20"/>
        </w:rPr>
        <w:t xml:space="preserve"> - Private foundations that are grant-making organizations that receive the majority of assets/income from an individual, family, or corporation. The foundation must be set up as a separate legal entity and have its own nonprofit status. Includes Private Grantmaking Foundations, Private Independent Foundations, and Private Operating Foundations;</w:t>
      </w:r>
    </w:p>
    <w:p w:rsidR="00F52C21" w:rsidRPr="00320E59" w:rsidRDefault="00F52C21" w:rsidP="00F52C21">
      <w:pPr>
        <w:numPr>
          <w:ilvl w:val="0"/>
          <w:numId w:val="2"/>
        </w:numPr>
        <w:tabs>
          <w:tab w:val="num" w:pos="1080"/>
        </w:tabs>
        <w:spacing w:after="60"/>
        <w:jc w:val="both"/>
        <w:rPr>
          <w:rFonts w:ascii="Arial" w:hAnsi="Arial" w:cs="Arial"/>
          <w:sz w:val="20"/>
          <w:szCs w:val="20"/>
        </w:rPr>
      </w:pPr>
      <w:r w:rsidRPr="00320E59">
        <w:rPr>
          <w:rFonts w:ascii="Arial" w:hAnsi="Arial" w:cs="Arial"/>
          <w:b/>
          <w:sz w:val="20"/>
          <w:szCs w:val="20"/>
        </w:rPr>
        <w:t>Museums</w:t>
      </w:r>
      <w:r w:rsidRPr="00320E59">
        <w:rPr>
          <w:rFonts w:ascii="Arial" w:hAnsi="Arial" w:cs="Arial"/>
          <w:sz w:val="20"/>
          <w:szCs w:val="20"/>
        </w:rPr>
        <w:t>; and</w:t>
      </w:r>
    </w:p>
    <w:p w:rsidR="00F52C21" w:rsidRPr="00320E59" w:rsidRDefault="00F52C21" w:rsidP="00F52C21">
      <w:pPr>
        <w:numPr>
          <w:ilvl w:val="0"/>
          <w:numId w:val="2"/>
        </w:numPr>
        <w:tabs>
          <w:tab w:val="num" w:pos="1080"/>
        </w:tabs>
        <w:spacing w:after="60"/>
        <w:jc w:val="both"/>
        <w:rPr>
          <w:rFonts w:ascii="Arial" w:hAnsi="Arial" w:cs="Arial"/>
          <w:sz w:val="20"/>
          <w:szCs w:val="20"/>
        </w:rPr>
      </w:pPr>
      <w:r w:rsidRPr="00320E59">
        <w:rPr>
          <w:rFonts w:ascii="Arial" w:hAnsi="Arial" w:cs="Arial"/>
          <w:b/>
          <w:sz w:val="20"/>
          <w:szCs w:val="20"/>
        </w:rPr>
        <w:t>Religious or faith based organizations</w:t>
      </w:r>
      <w:r w:rsidRPr="00320E59">
        <w:rPr>
          <w:rFonts w:ascii="Arial" w:hAnsi="Arial" w:cs="Arial"/>
          <w:sz w:val="20"/>
          <w:szCs w:val="20"/>
        </w:rPr>
        <w:t>.</w:t>
      </w:r>
    </w:p>
    <w:p w:rsidR="00F52C21" w:rsidRPr="00320E59" w:rsidRDefault="00F52C21" w:rsidP="00F52C21">
      <w:pPr>
        <w:pStyle w:val="NormalWeb"/>
        <w:spacing w:before="0" w:after="0"/>
        <w:jc w:val="both"/>
        <w:rPr>
          <w:rFonts w:ascii="Arial" w:hAnsi="Arial" w:cs="Arial"/>
          <w:b/>
          <w:noProof/>
          <w:lang w:eastAsia="en-US"/>
        </w:rPr>
      </w:pPr>
      <w:r w:rsidRPr="00320E59" w:rsidDel="002478ED">
        <w:rPr>
          <w:rFonts w:ascii="Arial" w:hAnsi="Arial" w:cs="Arial"/>
          <w:sz w:val="22"/>
          <w:szCs w:val="22"/>
        </w:rPr>
        <w:t xml:space="preserve"> </w:t>
      </w:r>
      <w:bookmarkStart w:id="6" w:name="QualifyingPerSe"/>
      <w:bookmarkEnd w:id="6"/>
    </w:p>
    <w:p w:rsidR="00F52C21" w:rsidRPr="00320E59" w:rsidRDefault="00F52C21" w:rsidP="00F52C21">
      <w:pPr>
        <w:pStyle w:val="Heading1"/>
        <w:jc w:val="both"/>
        <w:rPr>
          <w:sz w:val="36"/>
          <w:szCs w:val="36"/>
        </w:rPr>
      </w:pPr>
      <w:r w:rsidRPr="00320E59">
        <w:rPr>
          <w:noProof/>
          <w:sz w:val="36"/>
          <w:szCs w:val="36"/>
          <w:lang w:eastAsia="en-US"/>
        </w:rPr>
        <w:t>Ineligible Nonprofit Organizations</w:t>
      </w:r>
    </w:p>
    <w:p w:rsidR="00F52C21" w:rsidRPr="00320E59" w:rsidRDefault="00F52C21" w:rsidP="00F52C21">
      <w:pPr>
        <w:spacing w:after="60"/>
        <w:jc w:val="both"/>
        <w:rPr>
          <w:rFonts w:ascii="Arial" w:hAnsi="Arial" w:cs="Arial"/>
          <w:bCs/>
          <w:sz w:val="20"/>
          <w:szCs w:val="20"/>
        </w:rPr>
      </w:pPr>
      <w:r w:rsidRPr="00320E59">
        <w:rPr>
          <w:rFonts w:ascii="Arial" w:hAnsi="Arial" w:cs="Arial"/>
          <w:bCs/>
          <w:sz w:val="20"/>
          <w:szCs w:val="20"/>
        </w:rPr>
        <w:t xml:space="preserve">Any organization that does not meet the criteria outlined above for eligible nonprofit organizations is </w:t>
      </w:r>
      <w:r w:rsidRPr="00320E59">
        <w:rPr>
          <w:rFonts w:ascii="Arial" w:hAnsi="Arial" w:cs="Arial"/>
          <w:b/>
          <w:bCs/>
          <w:sz w:val="20"/>
          <w:szCs w:val="20"/>
        </w:rPr>
        <w:t>ineligible</w:t>
      </w:r>
      <w:r w:rsidRPr="00320E59">
        <w:rPr>
          <w:rFonts w:ascii="Arial" w:hAnsi="Arial" w:cs="Arial"/>
          <w:bCs/>
          <w:sz w:val="20"/>
          <w:szCs w:val="20"/>
        </w:rPr>
        <w:t xml:space="preserve"> for Microsoft nonprofit programs.  Ineligible organizations include, without limitation:</w:t>
      </w:r>
    </w:p>
    <w:p w:rsidR="00F52C21" w:rsidRPr="00320E59" w:rsidRDefault="00F52C21" w:rsidP="00F52C21">
      <w:pPr>
        <w:numPr>
          <w:ilvl w:val="0"/>
          <w:numId w:val="2"/>
        </w:numPr>
        <w:spacing w:after="60"/>
        <w:jc w:val="both"/>
        <w:rPr>
          <w:rFonts w:ascii="Arial" w:hAnsi="Arial" w:cs="Arial"/>
          <w:sz w:val="20"/>
          <w:szCs w:val="20"/>
        </w:rPr>
      </w:pPr>
      <w:r w:rsidRPr="00320E59">
        <w:rPr>
          <w:rFonts w:ascii="Arial" w:hAnsi="Arial" w:cs="Arial"/>
          <w:b/>
          <w:bCs/>
          <w:sz w:val="20"/>
          <w:szCs w:val="20"/>
        </w:rPr>
        <w:t xml:space="preserve">Nonprofit organizations </w:t>
      </w:r>
      <w:r w:rsidRPr="00320E59">
        <w:rPr>
          <w:rFonts w:ascii="Arial" w:hAnsi="Arial" w:cs="Arial"/>
          <w:bCs/>
          <w:sz w:val="20"/>
          <w:szCs w:val="20"/>
        </w:rPr>
        <w:t>(other than public libraries)</w:t>
      </w:r>
      <w:r w:rsidRPr="00320E59">
        <w:rPr>
          <w:rFonts w:ascii="Arial" w:hAnsi="Arial" w:cs="Arial"/>
          <w:b/>
          <w:bCs/>
          <w:sz w:val="20"/>
          <w:szCs w:val="20"/>
        </w:rPr>
        <w:t xml:space="preserve"> </w:t>
      </w:r>
      <w:r w:rsidRPr="00320E59">
        <w:rPr>
          <w:rFonts w:ascii="Arial" w:hAnsi="Arial" w:cs="Arial"/>
          <w:iCs/>
          <w:sz w:val="20"/>
          <w:szCs w:val="20"/>
        </w:rPr>
        <w:t>that have not obtained</w:t>
      </w:r>
      <w:r w:rsidRPr="00320E59">
        <w:rPr>
          <w:rFonts w:ascii="Arial" w:hAnsi="Arial" w:cs="Arial"/>
          <w:sz w:val="20"/>
          <w:szCs w:val="20"/>
        </w:rPr>
        <w:t xml:space="preserve"> recognized charitable status in their respective country; </w:t>
      </w:r>
    </w:p>
    <w:p w:rsidR="00F52C21" w:rsidRPr="00320E59" w:rsidRDefault="00F52C21" w:rsidP="00F52C21">
      <w:pPr>
        <w:numPr>
          <w:ilvl w:val="0"/>
          <w:numId w:val="2"/>
        </w:numPr>
        <w:spacing w:after="60"/>
        <w:jc w:val="both"/>
        <w:rPr>
          <w:rFonts w:ascii="Arial" w:hAnsi="Arial" w:cs="Arial"/>
          <w:sz w:val="20"/>
          <w:szCs w:val="20"/>
        </w:rPr>
      </w:pPr>
      <w:r w:rsidRPr="00320E59">
        <w:rPr>
          <w:rFonts w:ascii="Arial" w:hAnsi="Arial" w:cs="Arial"/>
          <w:b/>
          <w:bCs/>
          <w:sz w:val="20"/>
          <w:szCs w:val="20"/>
        </w:rPr>
        <w:t>Governmental organizations</w:t>
      </w:r>
      <w:r w:rsidRPr="00320E59">
        <w:rPr>
          <w:rFonts w:ascii="Arial" w:hAnsi="Arial" w:cs="Arial"/>
          <w:sz w:val="20"/>
          <w:szCs w:val="20"/>
        </w:rPr>
        <w:t xml:space="preserve"> or agencies, including international governmental organizations and United Nations Entities.  Visit the </w:t>
      </w:r>
      <w:hyperlink r:id="rId7" w:history="1">
        <w:hyperlink r:id="rId8" w:anchor="tab=1" w:history="1">
          <w:r w:rsidRPr="00320E59">
            <w:rPr>
              <w:rStyle w:val="Hyperlink"/>
              <w:rFonts w:ascii="Arial" w:hAnsi="Arial" w:cs="Arial"/>
              <w:sz w:val="20"/>
              <w:szCs w:val="20"/>
            </w:rPr>
            <w:t>Microsoft Volume Licensing</w:t>
          </w:r>
        </w:hyperlink>
        <w:r w:rsidRPr="00320E59">
          <w:rPr>
            <w:rStyle w:val="Hyperlink"/>
            <w:rFonts w:ascii="Arial" w:hAnsi="Arial" w:cs="Arial"/>
            <w:sz w:val="20"/>
            <w:szCs w:val="20"/>
          </w:rPr>
          <w:t xml:space="preserve"> </w:t>
        </w:r>
      </w:hyperlink>
      <w:r w:rsidRPr="00320E59">
        <w:rPr>
          <w:rFonts w:ascii="Arial" w:hAnsi="Arial" w:cs="Arial"/>
          <w:sz w:val="20"/>
          <w:szCs w:val="20"/>
        </w:rPr>
        <w:t>website for more information;</w:t>
      </w:r>
    </w:p>
    <w:p w:rsidR="00F52C21" w:rsidRPr="00320E59" w:rsidRDefault="00F52C21" w:rsidP="00F52C21">
      <w:pPr>
        <w:numPr>
          <w:ilvl w:val="0"/>
          <w:numId w:val="2"/>
        </w:numPr>
        <w:spacing w:after="60"/>
        <w:jc w:val="both"/>
        <w:rPr>
          <w:rFonts w:ascii="Arial" w:hAnsi="Arial" w:cs="Arial"/>
          <w:sz w:val="20"/>
          <w:szCs w:val="20"/>
        </w:rPr>
      </w:pPr>
      <w:r w:rsidRPr="00320E59">
        <w:rPr>
          <w:rFonts w:ascii="Arial" w:hAnsi="Arial" w:cs="Arial"/>
          <w:b/>
          <w:bCs/>
          <w:sz w:val="20"/>
          <w:szCs w:val="20"/>
        </w:rPr>
        <w:t>Schools, colleges and universities</w:t>
      </w:r>
      <w:r w:rsidRPr="00320E59">
        <w:rPr>
          <w:rFonts w:ascii="Arial" w:hAnsi="Arial" w:cs="Arial"/>
          <w:sz w:val="20"/>
          <w:szCs w:val="20"/>
        </w:rPr>
        <w:t xml:space="preserve"> – these formal educational institutions are eligible through Microsoft academic volume licensing programs and are not eligible for Microsoft Nonprofit Programs, including nonprofit schools.  Please visit the </w:t>
      </w:r>
      <w:hyperlink r:id="rId9" w:anchor="tab=2" w:history="1">
        <w:r w:rsidRPr="00320E59">
          <w:rPr>
            <w:rStyle w:val="Hyperlink"/>
            <w:rFonts w:ascii="Arial" w:hAnsi="Arial" w:cs="Arial"/>
            <w:sz w:val="20"/>
            <w:szCs w:val="20"/>
          </w:rPr>
          <w:t>Microsoft Volume Licensing</w:t>
        </w:r>
      </w:hyperlink>
      <w:r w:rsidRPr="00320E59">
        <w:rPr>
          <w:rFonts w:ascii="Arial" w:hAnsi="Arial" w:cs="Arial"/>
          <w:sz w:val="20"/>
          <w:szCs w:val="20"/>
        </w:rPr>
        <w:t xml:space="preserve"> website for more information; </w:t>
      </w:r>
    </w:p>
    <w:p w:rsidR="00F52C21" w:rsidRPr="00320E59" w:rsidRDefault="00F52C21" w:rsidP="00F52C21">
      <w:pPr>
        <w:numPr>
          <w:ilvl w:val="0"/>
          <w:numId w:val="2"/>
        </w:numPr>
        <w:spacing w:after="60"/>
        <w:jc w:val="both"/>
        <w:rPr>
          <w:rFonts w:ascii="Arial" w:hAnsi="Arial" w:cs="Arial"/>
          <w:b/>
          <w:bCs/>
          <w:sz w:val="20"/>
          <w:szCs w:val="20"/>
        </w:rPr>
      </w:pPr>
      <w:r w:rsidRPr="00320E59">
        <w:rPr>
          <w:rFonts w:ascii="Arial" w:hAnsi="Arial" w:cs="Arial"/>
          <w:b/>
          <w:sz w:val="20"/>
          <w:szCs w:val="20"/>
        </w:rPr>
        <w:t>Non-public libraries</w:t>
      </w:r>
      <w:r w:rsidRPr="00320E59">
        <w:rPr>
          <w:rFonts w:ascii="Arial" w:hAnsi="Arial" w:cs="Arial"/>
          <w:sz w:val="20"/>
          <w:szCs w:val="20"/>
        </w:rPr>
        <w:t xml:space="preserve">, including private libraries, school libraries, specialty libraries, armed forces libraries, and libraries in government agencies.  Please visit the </w:t>
      </w:r>
      <w:hyperlink r:id="rId10" w:anchor="tab=2" w:history="1">
        <w:r w:rsidRPr="00320E59">
          <w:rPr>
            <w:rStyle w:val="Hyperlink"/>
            <w:rFonts w:ascii="Arial" w:hAnsi="Arial" w:cs="Arial"/>
            <w:sz w:val="20"/>
            <w:szCs w:val="20"/>
          </w:rPr>
          <w:t>Microsoft Volume Licensing</w:t>
        </w:r>
      </w:hyperlink>
      <w:r w:rsidRPr="00320E59">
        <w:rPr>
          <w:rFonts w:ascii="Arial" w:hAnsi="Arial" w:cs="Arial"/>
          <w:sz w:val="20"/>
          <w:szCs w:val="20"/>
        </w:rPr>
        <w:t xml:space="preserve"> website for more information; </w:t>
      </w:r>
    </w:p>
    <w:p w:rsidR="00F52C21" w:rsidRPr="00320E59" w:rsidRDefault="00F52C21" w:rsidP="00F52C21">
      <w:pPr>
        <w:pStyle w:val="ListParagraph"/>
        <w:numPr>
          <w:ilvl w:val="0"/>
          <w:numId w:val="4"/>
        </w:numPr>
        <w:autoSpaceDE/>
        <w:autoSpaceDN/>
        <w:adjustRightInd/>
        <w:jc w:val="both"/>
        <w:rPr>
          <w:rFonts w:ascii="Arial" w:hAnsi="Arial" w:cs="Arial"/>
          <w:bCs/>
          <w:sz w:val="20"/>
          <w:szCs w:val="20"/>
        </w:rPr>
      </w:pPr>
      <w:r w:rsidRPr="00320E59">
        <w:rPr>
          <w:rFonts w:ascii="Arial" w:hAnsi="Arial" w:cs="Arial"/>
          <w:b/>
          <w:bCs/>
          <w:sz w:val="20"/>
          <w:szCs w:val="20"/>
        </w:rPr>
        <w:t xml:space="preserve">Healthcare organizations </w:t>
      </w:r>
      <w:r w:rsidRPr="00320E59">
        <w:rPr>
          <w:rFonts w:ascii="Arial" w:hAnsi="Arial" w:cs="Arial"/>
          <w:bCs/>
          <w:sz w:val="20"/>
          <w:szCs w:val="20"/>
        </w:rPr>
        <w:t xml:space="preserve">included in Microsoft Health Programs are ineligible for Microsoft Nonprofit Programs, with the exception of those identified as eligible above.  Visit the </w:t>
      </w:r>
      <w:hyperlink r:id="rId11" w:anchor="tab=3" w:history="1">
        <w:r w:rsidRPr="00320E59">
          <w:rPr>
            <w:rStyle w:val="Hyperlink"/>
            <w:rFonts w:ascii="Arial" w:hAnsi="Arial" w:cs="Arial"/>
            <w:sz w:val="20"/>
            <w:szCs w:val="20"/>
          </w:rPr>
          <w:t>Microsoft Volume Licensing</w:t>
        </w:r>
      </w:hyperlink>
      <w:r w:rsidRPr="00320E59">
        <w:rPr>
          <w:rFonts w:ascii="Arial" w:hAnsi="Arial" w:cs="Arial"/>
          <w:bCs/>
          <w:sz w:val="20"/>
          <w:szCs w:val="20"/>
        </w:rPr>
        <w:t xml:space="preserve"> website for more information. These include, but are not limited to, the following:</w:t>
      </w:r>
    </w:p>
    <w:p w:rsidR="00F52C21" w:rsidRPr="00320E59" w:rsidRDefault="00F52C21" w:rsidP="00F52C21">
      <w:pPr>
        <w:pStyle w:val="ListParagraph"/>
        <w:numPr>
          <w:ilvl w:val="1"/>
          <w:numId w:val="2"/>
        </w:numPr>
        <w:tabs>
          <w:tab w:val="clear" w:pos="1080"/>
          <w:tab w:val="num" w:pos="720"/>
        </w:tabs>
        <w:autoSpaceDE/>
        <w:autoSpaceDN/>
        <w:adjustRightInd/>
        <w:spacing w:after="100" w:afterAutospacing="1"/>
        <w:ind w:left="720"/>
        <w:contextualSpacing w:val="0"/>
        <w:jc w:val="both"/>
        <w:rPr>
          <w:rFonts w:ascii="Arial" w:eastAsia="Times New Roman" w:hAnsi="Arial" w:cs="Arial"/>
          <w:sz w:val="20"/>
          <w:szCs w:val="20"/>
        </w:rPr>
      </w:pPr>
      <w:r w:rsidRPr="00320E59">
        <w:rPr>
          <w:rFonts w:ascii="Arial" w:hAnsi="Arial" w:cs="Arial"/>
          <w:b/>
          <w:sz w:val="20"/>
          <w:szCs w:val="20"/>
        </w:rPr>
        <w:t>Hospitals</w:t>
      </w:r>
      <w:r w:rsidRPr="00320E59">
        <w:rPr>
          <w:rFonts w:ascii="Arial" w:hAnsi="Arial" w:cs="Arial"/>
          <w:sz w:val="20"/>
          <w:szCs w:val="20"/>
        </w:rPr>
        <w:t xml:space="preserve"> - Healthcare organizations that have a governing body, an organized medical staff and professional staff, and in-patient facilities and provide medical, nursing, and related services for ill and injured patients 24 hours a day, seven days a week;</w:t>
      </w:r>
    </w:p>
    <w:p w:rsidR="00F52C21" w:rsidRPr="00320E59" w:rsidRDefault="00F52C21" w:rsidP="00F52C21">
      <w:pPr>
        <w:pStyle w:val="ListParagraph"/>
        <w:numPr>
          <w:ilvl w:val="1"/>
          <w:numId w:val="2"/>
        </w:numPr>
        <w:tabs>
          <w:tab w:val="clear" w:pos="1080"/>
          <w:tab w:val="num" w:pos="720"/>
        </w:tabs>
        <w:autoSpaceDE/>
        <w:autoSpaceDN/>
        <w:adjustRightInd/>
        <w:spacing w:after="100" w:afterAutospacing="1"/>
        <w:ind w:left="720"/>
        <w:contextualSpacing w:val="0"/>
        <w:jc w:val="both"/>
        <w:rPr>
          <w:rFonts w:ascii="Arial" w:eastAsia="Times New Roman" w:hAnsi="Arial" w:cs="Arial"/>
          <w:sz w:val="20"/>
          <w:szCs w:val="20"/>
        </w:rPr>
      </w:pPr>
      <w:r w:rsidRPr="00320E59">
        <w:rPr>
          <w:rFonts w:ascii="Arial" w:eastAsia="Times New Roman" w:hAnsi="Arial" w:cs="Arial"/>
          <w:b/>
          <w:sz w:val="20"/>
          <w:szCs w:val="20"/>
        </w:rPr>
        <w:t>Healthcare networks and health plans</w:t>
      </w:r>
      <w:r w:rsidRPr="00320E59">
        <w:rPr>
          <w:rFonts w:ascii="Arial" w:hAnsi="Arial" w:cs="Arial"/>
          <w:sz w:val="20"/>
          <w:szCs w:val="20"/>
        </w:rPr>
        <w:t xml:space="preserve"> - </w:t>
      </w:r>
      <w:r w:rsidRPr="00320E59">
        <w:rPr>
          <w:rFonts w:ascii="Arial" w:eastAsia="Times New Roman" w:hAnsi="Arial" w:cs="Arial"/>
          <w:sz w:val="20"/>
          <w:szCs w:val="20"/>
        </w:rPr>
        <w:t>Hospital-owned vertically-integrated delivery systems, Integrated Delivery Systems (IDS), and managed healthcare networks, including Health Maintenance Organizations (HMO), Point of Service (POS) organizations, Preferred Provider Organizations (PPO), and other specialty networks;</w:t>
      </w:r>
    </w:p>
    <w:p w:rsidR="00F52C21" w:rsidRPr="00320E59" w:rsidRDefault="00F52C21" w:rsidP="00F52C21">
      <w:pPr>
        <w:pStyle w:val="ListParagraph"/>
        <w:numPr>
          <w:ilvl w:val="1"/>
          <w:numId w:val="2"/>
        </w:numPr>
        <w:tabs>
          <w:tab w:val="clear" w:pos="1080"/>
          <w:tab w:val="num" w:pos="720"/>
        </w:tabs>
        <w:autoSpaceDE/>
        <w:autoSpaceDN/>
        <w:adjustRightInd/>
        <w:spacing w:after="100" w:afterAutospacing="1"/>
        <w:ind w:left="720"/>
        <w:contextualSpacing w:val="0"/>
        <w:jc w:val="both"/>
        <w:rPr>
          <w:rFonts w:ascii="Arial" w:hAnsi="Arial" w:cs="Arial"/>
          <w:sz w:val="20"/>
          <w:szCs w:val="20"/>
        </w:rPr>
      </w:pPr>
      <w:r w:rsidRPr="00320E59">
        <w:rPr>
          <w:rFonts w:ascii="Arial" w:hAnsi="Arial" w:cs="Arial"/>
          <w:b/>
          <w:sz w:val="20"/>
          <w:szCs w:val="20"/>
        </w:rPr>
        <w:lastRenderedPageBreak/>
        <w:t>Ambulatory healthcare organizations</w:t>
      </w:r>
      <w:r w:rsidRPr="00320E59">
        <w:rPr>
          <w:rFonts w:ascii="Arial" w:hAnsi="Arial" w:cs="Arial"/>
          <w:sz w:val="20"/>
          <w:szCs w:val="20"/>
        </w:rPr>
        <w:t xml:space="preserve"> - Free-standing nonprofit healthcare organizations, including public health centers, medical/dental clinics, preventative healthcare offices, military clinics, mobile services, and occupational health centers;</w:t>
      </w:r>
    </w:p>
    <w:p w:rsidR="00F52C21" w:rsidRPr="00320E59" w:rsidRDefault="00F52C21" w:rsidP="00F52C21">
      <w:pPr>
        <w:numPr>
          <w:ilvl w:val="1"/>
          <w:numId w:val="2"/>
        </w:numPr>
        <w:tabs>
          <w:tab w:val="clear" w:pos="1080"/>
          <w:tab w:val="num" w:pos="720"/>
        </w:tabs>
        <w:ind w:left="720"/>
        <w:jc w:val="both"/>
        <w:rPr>
          <w:rFonts w:ascii="Arial" w:hAnsi="Arial" w:cs="Arial"/>
          <w:b/>
          <w:sz w:val="20"/>
          <w:szCs w:val="20"/>
        </w:rPr>
      </w:pPr>
      <w:r w:rsidRPr="00320E59">
        <w:rPr>
          <w:rFonts w:ascii="Arial" w:hAnsi="Arial" w:cs="Arial"/>
          <w:b/>
          <w:sz w:val="20"/>
          <w:szCs w:val="20"/>
        </w:rPr>
        <w:t>Assisted living / Nursing healthcare organizations</w:t>
      </w:r>
      <w:r w:rsidRPr="00320E59">
        <w:rPr>
          <w:rFonts w:ascii="Arial" w:hAnsi="Arial" w:cs="Arial"/>
          <w:sz w:val="20"/>
          <w:szCs w:val="20"/>
        </w:rPr>
        <w:t xml:space="preserve"> - Organizations that provide assisted living in congregate residential settings that provide or coordinate personal services, 24-hour supervision and assistance (scheduled and unscheduled), and health-related services.   These include, but may not be limited, to the following types of organizations:  continuing care retirement communities, retirement centers, assisted living facilities, nursing care facilities, skilled nursing facilities, and long term care facilities;</w:t>
      </w:r>
    </w:p>
    <w:p w:rsidR="00F52C21" w:rsidRPr="00320E59" w:rsidRDefault="00F52C21" w:rsidP="00F52C21">
      <w:pPr>
        <w:pStyle w:val="ListParagraph"/>
        <w:numPr>
          <w:ilvl w:val="0"/>
          <w:numId w:val="3"/>
        </w:numPr>
        <w:autoSpaceDE/>
        <w:autoSpaceDN/>
        <w:adjustRightInd/>
        <w:ind w:left="720"/>
        <w:contextualSpacing w:val="0"/>
        <w:jc w:val="both"/>
        <w:rPr>
          <w:rFonts w:ascii="Arial" w:hAnsi="Arial" w:cs="Arial"/>
          <w:sz w:val="20"/>
          <w:szCs w:val="20"/>
        </w:rPr>
      </w:pPr>
      <w:r w:rsidRPr="00320E59">
        <w:rPr>
          <w:rFonts w:ascii="Arial" w:hAnsi="Arial" w:cs="Arial"/>
          <w:b/>
          <w:sz w:val="20"/>
          <w:szCs w:val="20"/>
        </w:rPr>
        <w:t xml:space="preserve">Home Healthcare - </w:t>
      </w:r>
      <w:r w:rsidRPr="00320E59">
        <w:rPr>
          <w:rFonts w:ascii="Arial" w:hAnsi="Arial" w:cs="Arial"/>
          <w:sz w:val="20"/>
          <w:szCs w:val="20"/>
        </w:rPr>
        <w:t>Organizations that provide healthcare to individuals in their place of residence; and</w:t>
      </w:r>
    </w:p>
    <w:p w:rsidR="00F52C21" w:rsidRPr="00320E59" w:rsidRDefault="00F52C21" w:rsidP="00F52C21">
      <w:pPr>
        <w:numPr>
          <w:ilvl w:val="1"/>
          <w:numId w:val="2"/>
        </w:numPr>
        <w:tabs>
          <w:tab w:val="clear" w:pos="1080"/>
        </w:tabs>
        <w:spacing w:after="120"/>
        <w:ind w:left="720"/>
        <w:jc w:val="both"/>
        <w:rPr>
          <w:rFonts w:ascii="Arial" w:hAnsi="Arial" w:cs="Arial"/>
          <w:bCs/>
          <w:sz w:val="20"/>
          <w:szCs w:val="20"/>
        </w:rPr>
      </w:pPr>
      <w:r w:rsidRPr="00320E59">
        <w:rPr>
          <w:rFonts w:ascii="Arial" w:hAnsi="Arial" w:cs="Arial"/>
          <w:b/>
          <w:bCs/>
          <w:sz w:val="20"/>
          <w:szCs w:val="20"/>
        </w:rPr>
        <w:t xml:space="preserve">Health research organizations and research laboratories </w:t>
      </w:r>
      <w:r w:rsidRPr="00320E59">
        <w:rPr>
          <w:rFonts w:ascii="Arial" w:hAnsi="Arial" w:cs="Arial"/>
          <w:bCs/>
          <w:sz w:val="20"/>
          <w:szCs w:val="20"/>
        </w:rPr>
        <w:t xml:space="preserve">with the primary mission of providing systematic investigation of health-related topics, including research development, testing and evaluation, designed to develop or contribute to the knowledgebase, with the exception of free-standing nonprofit medical research organizations </w:t>
      </w:r>
      <w:r w:rsidRPr="00320E59">
        <w:rPr>
          <w:rFonts w:ascii="Arial" w:hAnsi="Arial" w:cs="Arial"/>
          <w:sz w:val="20"/>
          <w:szCs w:val="20"/>
        </w:rPr>
        <w:t>who undertake research into the prevention or treatment of human disease, congenital or genetic conditions</w:t>
      </w:r>
      <w:r w:rsidRPr="00320E59">
        <w:rPr>
          <w:rFonts w:ascii="Arial" w:hAnsi="Arial" w:cs="Arial"/>
          <w:bCs/>
          <w:sz w:val="20"/>
          <w:szCs w:val="20"/>
        </w:rPr>
        <w:t xml:space="preserve">; </w:t>
      </w:r>
    </w:p>
    <w:p w:rsidR="00F52C21" w:rsidRPr="00320E59" w:rsidRDefault="00F52C21" w:rsidP="00F52C21">
      <w:pPr>
        <w:numPr>
          <w:ilvl w:val="0"/>
          <w:numId w:val="2"/>
        </w:numPr>
        <w:spacing w:after="60"/>
        <w:jc w:val="both"/>
        <w:rPr>
          <w:rFonts w:ascii="Arial" w:hAnsi="Arial" w:cs="Arial"/>
          <w:bCs/>
          <w:sz w:val="20"/>
          <w:szCs w:val="20"/>
        </w:rPr>
      </w:pPr>
      <w:r w:rsidRPr="00320E59">
        <w:rPr>
          <w:rFonts w:ascii="Arial" w:hAnsi="Arial" w:cs="Arial"/>
          <w:b/>
          <w:bCs/>
          <w:sz w:val="20"/>
          <w:szCs w:val="20"/>
        </w:rPr>
        <w:t xml:space="preserve">Commerce and Trade Associations </w:t>
      </w:r>
      <w:r w:rsidRPr="00320E59">
        <w:rPr>
          <w:rFonts w:ascii="Arial" w:hAnsi="Arial" w:cs="Arial"/>
          <w:bCs/>
          <w:sz w:val="20"/>
          <w:szCs w:val="20"/>
        </w:rPr>
        <w:t>without charitable aims or activities benefitting non-members;</w:t>
      </w:r>
    </w:p>
    <w:p w:rsidR="00F52C21" w:rsidRPr="00320E59" w:rsidRDefault="00F52C21" w:rsidP="00F52C21">
      <w:pPr>
        <w:numPr>
          <w:ilvl w:val="0"/>
          <w:numId w:val="2"/>
        </w:numPr>
        <w:spacing w:after="60"/>
        <w:jc w:val="both"/>
        <w:rPr>
          <w:rFonts w:ascii="Arial" w:hAnsi="Arial" w:cs="Arial"/>
          <w:b/>
          <w:bCs/>
          <w:sz w:val="20"/>
          <w:szCs w:val="20"/>
        </w:rPr>
      </w:pPr>
      <w:r w:rsidRPr="00320E59">
        <w:rPr>
          <w:rFonts w:ascii="Arial" w:hAnsi="Arial" w:cs="Arial"/>
          <w:b/>
          <w:bCs/>
          <w:sz w:val="20"/>
          <w:szCs w:val="20"/>
        </w:rPr>
        <w:t>Sponsorships of events, tables, exhibitions, or performances;</w:t>
      </w:r>
    </w:p>
    <w:p w:rsidR="00F52C21" w:rsidRPr="00320E59" w:rsidRDefault="00F52C21" w:rsidP="00F52C21">
      <w:pPr>
        <w:numPr>
          <w:ilvl w:val="0"/>
          <w:numId w:val="2"/>
        </w:numPr>
        <w:spacing w:after="60"/>
        <w:jc w:val="both"/>
        <w:rPr>
          <w:rFonts w:ascii="Arial" w:hAnsi="Arial" w:cs="Arial"/>
          <w:b/>
          <w:bCs/>
          <w:sz w:val="20"/>
          <w:szCs w:val="20"/>
        </w:rPr>
      </w:pPr>
      <w:r w:rsidRPr="00320E59">
        <w:rPr>
          <w:rFonts w:ascii="Arial" w:hAnsi="Arial" w:cs="Arial"/>
          <w:b/>
          <w:bCs/>
          <w:sz w:val="20"/>
          <w:szCs w:val="20"/>
        </w:rPr>
        <w:t>Fund-raising events such as luncheons, dinners, walks, runs, or sports tournaments;</w:t>
      </w:r>
    </w:p>
    <w:p w:rsidR="00F52C21" w:rsidRPr="00320E59" w:rsidRDefault="00F52C21" w:rsidP="00F52C21">
      <w:pPr>
        <w:numPr>
          <w:ilvl w:val="0"/>
          <w:numId w:val="2"/>
        </w:numPr>
        <w:spacing w:after="60"/>
        <w:jc w:val="both"/>
        <w:rPr>
          <w:rFonts w:ascii="Arial" w:hAnsi="Arial" w:cs="Arial"/>
          <w:b/>
          <w:bCs/>
          <w:sz w:val="20"/>
          <w:szCs w:val="20"/>
        </w:rPr>
      </w:pPr>
      <w:r w:rsidRPr="00320E59">
        <w:rPr>
          <w:rFonts w:ascii="Arial" w:hAnsi="Arial" w:cs="Arial"/>
          <w:b/>
          <w:bCs/>
          <w:sz w:val="20"/>
          <w:szCs w:val="20"/>
        </w:rPr>
        <w:t>Political, Labor, and Fraternal organizations;</w:t>
      </w:r>
    </w:p>
    <w:p w:rsidR="00F52C21" w:rsidRPr="00320E59" w:rsidRDefault="00F52C21" w:rsidP="00F52C21">
      <w:pPr>
        <w:numPr>
          <w:ilvl w:val="0"/>
          <w:numId w:val="2"/>
        </w:numPr>
        <w:spacing w:after="60"/>
        <w:jc w:val="both"/>
        <w:rPr>
          <w:rFonts w:ascii="Arial" w:hAnsi="Arial" w:cs="Arial"/>
          <w:sz w:val="20"/>
          <w:szCs w:val="20"/>
        </w:rPr>
      </w:pPr>
      <w:r w:rsidRPr="00320E59">
        <w:rPr>
          <w:rFonts w:ascii="Arial" w:hAnsi="Arial" w:cs="Arial"/>
          <w:b/>
          <w:bCs/>
          <w:sz w:val="20"/>
          <w:szCs w:val="20"/>
        </w:rPr>
        <w:t>Refurbishers</w:t>
      </w:r>
      <w:r w:rsidRPr="00320E59">
        <w:rPr>
          <w:rFonts w:ascii="Arial" w:hAnsi="Arial" w:cs="Arial"/>
          <w:sz w:val="20"/>
          <w:szCs w:val="20"/>
        </w:rPr>
        <w:t xml:space="preserve"> that will be installing the donated software on refurbished computers to be distributed or donated to nonprofits or schools. Please visit the </w:t>
      </w:r>
      <w:hyperlink r:id="rId12" w:tooltip="Microsoft Registered Refurbisher Program" w:history="1">
        <w:r w:rsidRPr="00320E59">
          <w:rPr>
            <w:rStyle w:val="Hyperlink"/>
            <w:rFonts w:ascii="Arial" w:hAnsi="Arial" w:cs="Arial"/>
            <w:sz w:val="20"/>
            <w:szCs w:val="20"/>
          </w:rPr>
          <w:t>Registered Refurbisher Program</w:t>
        </w:r>
      </w:hyperlink>
      <w:r w:rsidRPr="00320E59">
        <w:rPr>
          <w:rFonts w:ascii="Arial" w:hAnsi="Arial" w:cs="Arial"/>
          <w:sz w:val="20"/>
          <w:szCs w:val="20"/>
        </w:rPr>
        <w:t>;</w:t>
      </w:r>
    </w:p>
    <w:p w:rsidR="00F52C21" w:rsidRPr="00320E59" w:rsidRDefault="00F52C21" w:rsidP="00F52C21">
      <w:pPr>
        <w:numPr>
          <w:ilvl w:val="0"/>
          <w:numId w:val="2"/>
        </w:numPr>
        <w:spacing w:after="60"/>
        <w:jc w:val="both"/>
        <w:rPr>
          <w:rFonts w:ascii="Arial" w:hAnsi="Arial" w:cs="Arial"/>
          <w:sz w:val="20"/>
          <w:szCs w:val="20"/>
        </w:rPr>
      </w:pPr>
      <w:r w:rsidRPr="00320E59">
        <w:rPr>
          <w:rFonts w:ascii="Arial" w:hAnsi="Arial" w:cs="Arial"/>
          <w:b/>
          <w:sz w:val="20"/>
          <w:szCs w:val="20"/>
        </w:rPr>
        <w:t>Religious or faith based organizations</w:t>
      </w:r>
      <w:r w:rsidRPr="00320E59">
        <w:rPr>
          <w:rFonts w:ascii="Arial" w:hAnsi="Arial" w:cs="Arial"/>
          <w:sz w:val="20"/>
          <w:szCs w:val="20"/>
        </w:rPr>
        <w:t xml:space="preserve"> that have not obtained recognized charitable status; and</w:t>
      </w:r>
    </w:p>
    <w:p w:rsidR="00F52C21" w:rsidRPr="00320E59" w:rsidRDefault="00F52C21" w:rsidP="00F52C21">
      <w:pPr>
        <w:numPr>
          <w:ilvl w:val="0"/>
          <w:numId w:val="2"/>
        </w:numPr>
        <w:spacing w:after="60"/>
        <w:jc w:val="both"/>
        <w:rPr>
          <w:rFonts w:ascii="Arial" w:hAnsi="Arial" w:cs="Arial"/>
          <w:b/>
          <w:bCs/>
          <w:sz w:val="20"/>
          <w:szCs w:val="20"/>
        </w:rPr>
      </w:pPr>
      <w:r w:rsidRPr="00320E59">
        <w:rPr>
          <w:rFonts w:ascii="Arial" w:hAnsi="Arial" w:cs="Arial"/>
          <w:b/>
          <w:bCs/>
          <w:sz w:val="20"/>
          <w:szCs w:val="20"/>
        </w:rPr>
        <w:t>Individuals.</w:t>
      </w:r>
    </w:p>
    <w:p w:rsidR="00F52C21" w:rsidRPr="00320E59" w:rsidRDefault="00F52C21" w:rsidP="00F52C21">
      <w:pPr>
        <w:pStyle w:val="ListParagraph"/>
        <w:jc w:val="both"/>
        <w:rPr>
          <w:rFonts w:ascii="Arial" w:hAnsi="Arial" w:cs="Arial"/>
          <w:b/>
          <w:bCs/>
          <w:sz w:val="20"/>
          <w:szCs w:val="20"/>
        </w:rPr>
      </w:pPr>
    </w:p>
    <w:p w:rsidR="00F52C21" w:rsidRPr="00320E59" w:rsidRDefault="00F52C21" w:rsidP="00F52C21">
      <w:pPr>
        <w:pStyle w:val="ListParagraph"/>
        <w:ind w:left="0"/>
        <w:jc w:val="both"/>
        <w:rPr>
          <w:rFonts w:ascii="Arial" w:hAnsi="Arial" w:cs="Arial"/>
          <w:sz w:val="20"/>
          <w:szCs w:val="20"/>
        </w:rPr>
      </w:pPr>
      <w:r w:rsidRPr="00320E59">
        <w:rPr>
          <w:rFonts w:ascii="Arial" w:hAnsi="Arial" w:cs="Arial"/>
          <w:b/>
          <w:sz w:val="20"/>
          <w:szCs w:val="20"/>
        </w:rPr>
        <w:t xml:space="preserve">Note Regarding an Organization’s Status as an Eligible Nonprofit Organization.  </w:t>
      </w:r>
      <w:r w:rsidRPr="00320E59">
        <w:rPr>
          <w:rFonts w:ascii="Arial" w:hAnsi="Arial" w:cs="Arial"/>
          <w:sz w:val="20"/>
          <w:szCs w:val="20"/>
        </w:rPr>
        <w:t>If an organization loses its status as an eligible nonprofit organization after licensing products under these guidelines, it may continue to use the products for which it is licensed, but it may not submit a new order for licenses at the pricing levels Microsoft offers to nonprofit organizations. The organization may renew expiring Software Assurance for licenses purchased while it qualified as a nonprofit organization by submitting orders for Software Assurance under any other Microsoft Volume Licensing programs for which the organization qualifies as of the order date.</w:t>
      </w:r>
    </w:p>
    <w:p w:rsidR="00486EC8" w:rsidRDefault="00486EC8"/>
    <w:sectPr w:rsidR="00486EC8" w:rsidSect="00320E59">
      <w:headerReference w:type="even" r:id="rId13"/>
      <w:headerReference w:type="default" r:id="rId14"/>
      <w:footerReference w:type="default" r:id="rId15"/>
      <w:headerReference w:type="first" r:id="rId16"/>
      <w:footerReference w:type="first" r:id="rId17"/>
      <w:pgSz w:w="11909" w:h="16834"/>
      <w:pgMar w:top="907" w:right="1267" w:bottom="1080" w:left="1080" w:header="576"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0" w:type="dxa"/>
      <w:jc w:val="center"/>
      <w:tblLayout w:type="fixed"/>
      <w:tblLook w:val="04A0" w:firstRow="1" w:lastRow="0" w:firstColumn="1" w:lastColumn="0" w:noHBand="0" w:noVBand="1"/>
    </w:tblPr>
    <w:tblGrid>
      <w:gridCol w:w="5843"/>
      <w:gridCol w:w="3187"/>
    </w:tblGrid>
    <w:tr w:rsidR="00320E59" w:rsidTr="0061374A">
      <w:trPr>
        <w:jc w:val="center"/>
      </w:trPr>
      <w:tc>
        <w:tcPr>
          <w:tcW w:w="3960" w:type="dxa"/>
          <w:hideMark/>
        </w:tcPr>
        <w:p w:rsidR="00320E59" w:rsidRDefault="00D97064" w:rsidP="00320E59">
          <w:pPr>
            <w:pStyle w:val="Footer"/>
            <w:tabs>
              <w:tab w:val="center" w:pos="5220"/>
              <w:tab w:val="right" w:pos="10170"/>
            </w:tabs>
            <w:rPr>
              <w:rStyle w:val="PageNumber"/>
              <w:rFonts w:ascii="Arial" w:hAnsi="Arial" w:cs="Arial"/>
              <w:sz w:val="16"/>
            </w:rPr>
          </w:pPr>
          <w:r>
            <w:rPr>
              <w:rStyle w:val="PageNumber"/>
              <w:rFonts w:ascii="Arial" w:hAnsi="Arial" w:cs="Arial"/>
              <w:sz w:val="16"/>
            </w:rPr>
            <w:t>NonprofitEligibilityDefinition(EU)Germany(ENG)(Jul2013)</w:t>
          </w:r>
        </w:p>
      </w:tc>
      <w:tc>
        <w:tcPr>
          <w:tcW w:w="2160" w:type="dxa"/>
          <w:hideMark/>
        </w:tcPr>
        <w:p w:rsidR="00320E59" w:rsidRDefault="00D97064" w:rsidP="00320E59">
          <w:pPr>
            <w:pStyle w:val="Footer"/>
            <w:tabs>
              <w:tab w:val="center" w:pos="5220"/>
              <w:tab w:val="right" w:pos="10170"/>
            </w:tabs>
            <w:jc w:val="right"/>
            <w:rPr>
              <w:rStyle w:val="PageNumber"/>
              <w:rFonts w:ascii="Arial" w:hAnsi="Arial" w:cs="Arial"/>
              <w:sz w:val="16"/>
              <w:szCs w:val="16"/>
            </w:rPr>
          </w:pPr>
          <w:r>
            <w:rPr>
              <w:rStyle w:val="PageNumber"/>
              <w:rFonts w:ascii="Arial" w:hAnsi="Arial" w:cs="Arial"/>
              <w:snapToGrid w:val="0"/>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napToGrid w:val="0"/>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p>
      </w:tc>
    </w:tr>
  </w:tbl>
  <w:p w:rsidR="00175303" w:rsidRPr="00320E59" w:rsidRDefault="00D97064" w:rsidP="00320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0" w:type="dxa"/>
      <w:jc w:val="center"/>
      <w:tblLayout w:type="fixed"/>
      <w:tblLook w:val="04A0" w:firstRow="1" w:lastRow="0" w:firstColumn="1" w:lastColumn="0" w:noHBand="0" w:noVBand="1"/>
    </w:tblPr>
    <w:tblGrid>
      <w:gridCol w:w="5843"/>
      <w:gridCol w:w="3187"/>
    </w:tblGrid>
    <w:tr w:rsidR="00320E59" w:rsidTr="00320E59">
      <w:trPr>
        <w:jc w:val="center"/>
      </w:trPr>
      <w:tc>
        <w:tcPr>
          <w:tcW w:w="3960" w:type="dxa"/>
          <w:hideMark/>
        </w:tcPr>
        <w:p w:rsidR="00320E59" w:rsidRDefault="00D97064" w:rsidP="00320E59">
          <w:pPr>
            <w:pStyle w:val="Footer"/>
            <w:tabs>
              <w:tab w:val="center" w:pos="5220"/>
              <w:tab w:val="right" w:pos="10170"/>
            </w:tabs>
            <w:rPr>
              <w:rStyle w:val="PageNumber"/>
              <w:rFonts w:ascii="Arial" w:hAnsi="Arial" w:cs="Arial"/>
              <w:sz w:val="16"/>
            </w:rPr>
          </w:pPr>
          <w:r>
            <w:rPr>
              <w:rStyle w:val="PageNumber"/>
              <w:rFonts w:ascii="Arial" w:hAnsi="Arial" w:cs="Arial"/>
              <w:sz w:val="16"/>
            </w:rPr>
            <w:t>NonprofitEligibilityDefinition(EU)Germany(ENG)(Jul2013)</w:t>
          </w:r>
        </w:p>
      </w:tc>
      <w:tc>
        <w:tcPr>
          <w:tcW w:w="2160" w:type="dxa"/>
          <w:hideMark/>
        </w:tcPr>
        <w:p w:rsidR="00320E59" w:rsidRDefault="00D97064" w:rsidP="00320E59">
          <w:pPr>
            <w:pStyle w:val="Footer"/>
            <w:tabs>
              <w:tab w:val="center" w:pos="5220"/>
              <w:tab w:val="right" w:pos="10170"/>
            </w:tabs>
            <w:jc w:val="right"/>
            <w:rPr>
              <w:rStyle w:val="PageNumber"/>
              <w:rFonts w:ascii="Arial" w:hAnsi="Arial" w:cs="Arial"/>
              <w:sz w:val="16"/>
              <w:szCs w:val="16"/>
            </w:rPr>
          </w:pPr>
          <w:r>
            <w:rPr>
              <w:rStyle w:val="PageNumber"/>
              <w:rFonts w:ascii="Arial" w:hAnsi="Arial" w:cs="Arial"/>
              <w:snapToGrid w:val="0"/>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napToGrid w:val="0"/>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tc>
    </w:tr>
  </w:tbl>
  <w:p w:rsidR="000840D1" w:rsidRDefault="00D970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D1" w:rsidRDefault="00D97064">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2504" o:spid="_x0000_s1026" type="#_x0000_t75" style="position:absolute;margin-left:0;margin-top:0;width:494.8pt;height:278.95pt;z-index:-251656192;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D1" w:rsidRDefault="00D97064" w:rsidP="000840D1">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2505" o:spid="_x0000_s1027" type="#_x0000_t75" style="position:absolute;left:0;text-align:left;margin-left:0;margin-top:0;width:494.8pt;height:278.95pt;z-index:-251655168;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D1" w:rsidRDefault="00D97064" w:rsidP="000840D1">
    <w:pPr>
      <w:pStyle w:val="Header"/>
      <w:jc w:val="right"/>
    </w:pPr>
    <w:r>
      <w:rPr>
        <w:noProof/>
        <w:lang w:eastAsia="en-US"/>
      </w:rPr>
      <w:drawing>
        <wp:inline distT="0" distB="0" distL="0" distR="0" wp14:anchorId="4949B179" wp14:editId="2B2A4DBE">
          <wp:extent cx="6067425" cy="600075"/>
          <wp:effectExtent l="0" t="0" r="0" b="9525"/>
          <wp:docPr id="2" name="Picture 2" descr="C:\Users\v-zamorr\Desktop\new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zamorr\Desktop\new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600075"/>
                  </a:xfrm>
                  <a:prstGeom prst="rect">
                    <a:avLst/>
                  </a:prstGeom>
                  <a:noFill/>
                  <a:ln>
                    <a:noFill/>
                  </a:ln>
                </pic:spPr>
              </pic:pic>
            </a:graphicData>
          </a:graphic>
        </wp:inline>
      </w:drawing>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2503" o:spid="_x0000_s1025" type="#_x0000_t75" style="position:absolute;left:0;text-align:left;margin-left:0;margin-top:0;width:494.8pt;height:278.95pt;z-index:-251657216;mso-position-horizontal:center;mso-position-horizontal-relative:margin;mso-position-vertical:center;mso-position-vertical-relative:margin" o:allowincell="f">
          <v:imagedata r:id="rId2" o:title="K2 B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BE6"/>
    <w:multiLevelType w:val="hybridMultilevel"/>
    <w:tmpl w:val="B7A48B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B16ECE"/>
    <w:multiLevelType w:val="hybridMultilevel"/>
    <w:tmpl w:val="5EC2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E746D"/>
    <w:multiLevelType w:val="hybridMultilevel"/>
    <w:tmpl w:val="A252D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4005E9"/>
    <w:multiLevelType w:val="hybridMultilevel"/>
    <w:tmpl w:val="08ACF1C6"/>
    <w:lvl w:ilvl="0" w:tplc="08090001">
      <w:start w:val="1"/>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4A573B16"/>
    <w:multiLevelType w:val="hybridMultilevel"/>
    <w:tmpl w:val="FA4E3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0yl9TnTbZpxzNLnAGZPfC/39+EZLQt7Khm2DUyFBZJFFVQ/aeHkCI204h3AmVtQuW4PM5WRfAJWsDe834cwCQ==" w:salt="H8+ua4m4epbHfwazQ3bYBg=="/>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21"/>
    <w:rsid w:val="00486EC8"/>
    <w:rsid w:val="00D97064"/>
    <w:rsid w:val="00F52C21"/>
    <w:rsid w:val="00F614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C83CFB7-7507-4BF6-91E0-5DEAFD88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21"/>
    <w:rPr>
      <w:rFonts w:ascii="Times New Roman" w:eastAsia="MS Mincho" w:hAnsi="Times New Roman" w:cs="Times New Roman"/>
      <w:bCs w:val="0"/>
      <w:color w:val="auto"/>
      <w:sz w:val="24"/>
      <w:szCs w:val="24"/>
      <w:lang w:eastAsia="ja-JP"/>
    </w:rPr>
  </w:style>
  <w:style w:type="paragraph" w:styleId="Heading1">
    <w:name w:val="heading 1"/>
    <w:basedOn w:val="Normal"/>
    <w:next w:val="Normal"/>
    <w:link w:val="Heading1Char"/>
    <w:qFormat/>
    <w:rsid w:val="00F61465"/>
    <w:pPr>
      <w:keepNext/>
      <w:spacing w:before="360" w:after="120"/>
      <w:ind w:left="720" w:hanging="720"/>
      <w:outlineLvl w:val="0"/>
    </w:pPr>
    <w:rPr>
      <w:rFonts w:eastAsia="Times New Roman"/>
      <w:b/>
      <w:i/>
      <w:sz w:val="26"/>
    </w:rPr>
  </w:style>
  <w:style w:type="paragraph" w:styleId="Heading2">
    <w:name w:val="heading 2"/>
    <w:basedOn w:val="Normal"/>
    <w:next w:val="Normal"/>
    <w:link w:val="Heading2Char"/>
    <w:uiPriority w:val="9"/>
    <w:qFormat/>
    <w:rsid w:val="00F61465"/>
    <w:pPr>
      <w:keepNext/>
      <w:keepLines/>
      <w:spacing w:before="200"/>
      <w:outlineLvl w:val="1"/>
    </w:pPr>
    <w:rPr>
      <w:rFonts w:ascii="Cambria" w:eastAsia="Malgun Gothic" w:hAnsi="Cambria"/>
      <w:b/>
      <w:color w:val="4F81BD"/>
      <w:sz w:val="26"/>
    </w:rPr>
  </w:style>
  <w:style w:type="paragraph" w:styleId="Heading3">
    <w:name w:val="heading 3"/>
    <w:basedOn w:val="Normal"/>
    <w:next w:val="Normal"/>
    <w:link w:val="Heading3Char"/>
    <w:uiPriority w:val="9"/>
    <w:qFormat/>
    <w:rsid w:val="00F61465"/>
    <w:pPr>
      <w:keepNext/>
      <w:keepLines/>
      <w:spacing w:before="200"/>
      <w:outlineLvl w:val="2"/>
    </w:pPr>
    <w:rPr>
      <w:rFonts w:ascii="Cambria" w:eastAsia="Malgun Gothic" w:hAnsi="Cambria"/>
      <w:b/>
      <w:color w:val="4F81BD"/>
    </w:rPr>
  </w:style>
  <w:style w:type="paragraph" w:styleId="Heading4">
    <w:name w:val="heading 4"/>
    <w:basedOn w:val="Normal"/>
    <w:next w:val="Normal"/>
    <w:link w:val="Heading4Char"/>
    <w:uiPriority w:val="9"/>
    <w:qFormat/>
    <w:rsid w:val="00F61465"/>
    <w:pPr>
      <w:keepNext/>
      <w:keepLines/>
      <w:spacing w:before="200"/>
      <w:outlineLvl w:val="3"/>
    </w:pPr>
    <w:rPr>
      <w:rFonts w:ascii="Cambria" w:eastAsia="Malgun Gothic" w:hAnsi="Cambria"/>
      <w:b/>
      <w:i/>
      <w:color w:val="4F81BD"/>
    </w:rPr>
  </w:style>
  <w:style w:type="paragraph" w:styleId="Heading5">
    <w:name w:val="heading 5"/>
    <w:basedOn w:val="Normal"/>
    <w:next w:val="Normal"/>
    <w:link w:val="Heading5Char"/>
    <w:uiPriority w:val="9"/>
    <w:qFormat/>
    <w:rsid w:val="00F61465"/>
    <w:pPr>
      <w:keepNext/>
      <w:ind w:right="-277"/>
      <w:jc w:val="center"/>
      <w:outlineLvl w:val="4"/>
    </w:pPr>
    <w:rPr>
      <w:rFonts w:ascii="Garamond" w:hAnsi="Garamond"/>
      <w:b/>
      <w:lang w:eastAsia="nl-NL"/>
    </w:rPr>
  </w:style>
  <w:style w:type="paragraph" w:styleId="Heading6">
    <w:name w:val="heading 6"/>
    <w:basedOn w:val="Normal"/>
    <w:next w:val="Normal"/>
    <w:link w:val="Heading6Char"/>
    <w:uiPriority w:val="9"/>
    <w:qFormat/>
    <w:rsid w:val="00F61465"/>
    <w:pPr>
      <w:keepNext/>
      <w:jc w:val="center"/>
      <w:outlineLvl w:val="5"/>
    </w:pPr>
    <w:rPr>
      <w:rFonts w:ascii="Garamond" w:hAnsi="Garamond"/>
      <w:b/>
    </w:rPr>
  </w:style>
  <w:style w:type="paragraph" w:styleId="Heading7">
    <w:name w:val="heading 7"/>
    <w:basedOn w:val="Normal"/>
    <w:next w:val="Normal"/>
    <w:link w:val="Heading7Char"/>
    <w:uiPriority w:val="9"/>
    <w:qFormat/>
    <w:rsid w:val="00F61465"/>
    <w:pPr>
      <w:keepNext/>
      <w:outlineLvl w:val="6"/>
    </w:pPr>
    <w:rPr>
      <w:b/>
    </w:rPr>
  </w:style>
  <w:style w:type="paragraph" w:styleId="Heading8">
    <w:name w:val="heading 8"/>
    <w:basedOn w:val="Normal"/>
    <w:next w:val="Normal"/>
    <w:link w:val="Heading8Char"/>
    <w:uiPriority w:val="9"/>
    <w:qFormat/>
    <w:rsid w:val="00F61465"/>
    <w:pPr>
      <w:keepNext/>
      <w:jc w:val="center"/>
      <w:outlineLvl w:val="7"/>
    </w:pPr>
    <w:rPr>
      <w:rFonts w:ascii="Garamond" w:hAnsi="Garamond"/>
      <w:b/>
      <w:i/>
    </w:rPr>
  </w:style>
  <w:style w:type="paragraph" w:styleId="Heading9">
    <w:name w:val="heading 9"/>
    <w:basedOn w:val="Normal"/>
    <w:next w:val="Normal"/>
    <w:link w:val="Heading9Char"/>
    <w:uiPriority w:val="9"/>
    <w:qFormat/>
    <w:rsid w:val="00F61465"/>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465"/>
    <w:rPr>
      <w:rFonts w:eastAsia="Times New Roman"/>
      <w:b/>
      <w:i/>
      <w:sz w:val="26"/>
      <w:lang w:eastAsia="ja-JP"/>
    </w:rPr>
  </w:style>
  <w:style w:type="character" w:customStyle="1" w:styleId="Heading2Char">
    <w:name w:val="Heading 2 Char"/>
    <w:basedOn w:val="DefaultParagraphFont"/>
    <w:link w:val="Heading2"/>
    <w:uiPriority w:val="9"/>
    <w:rsid w:val="00F61465"/>
    <w:rPr>
      <w:rFonts w:ascii="Cambria" w:eastAsia="Malgun Gothic" w:hAnsi="Cambria"/>
      <w:b/>
      <w:color w:val="4F81BD"/>
      <w:sz w:val="26"/>
      <w:lang w:eastAsia="ja-JP"/>
    </w:rPr>
  </w:style>
  <w:style w:type="character" w:customStyle="1" w:styleId="Heading3Char">
    <w:name w:val="Heading 3 Char"/>
    <w:basedOn w:val="DefaultParagraphFont"/>
    <w:link w:val="Heading3"/>
    <w:uiPriority w:val="9"/>
    <w:rsid w:val="00F61465"/>
    <w:rPr>
      <w:rFonts w:ascii="Cambria" w:eastAsia="Malgun Gothic" w:hAnsi="Cambria"/>
      <w:b/>
      <w:color w:val="4F81BD"/>
      <w:lang w:eastAsia="ja-JP"/>
    </w:rPr>
  </w:style>
  <w:style w:type="character" w:customStyle="1" w:styleId="Heading4Char">
    <w:name w:val="Heading 4 Char"/>
    <w:basedOn w:val="DefaultParagraphFont"/>
    <w:link w:val="Heading4"/>
    <w:uiPriority w:val="9"/>
    <w:rsid w:val="00F61465"/>
    <w:rPr>
      <w:rFonts w:ascii="Cambria" w:eastAsia="Malgun Gothic" w:hAnsi="Cambria"/>
      <w:b/>
      <w:i/>
      <w:color w:val="4F81BD"/>
      <w:lang w:eastAsia="ja-JP"/>
    </w:rPr>
  </w:style>
  <w:style w:type="character" w:customStyle="1" w:styleId="Heading5Char">
    <w:name w:val="Heading 5 Char"/>
    <w:basedOn w:val="DefaultParagraphFont"/>
    <w:link w:val="Heading5"/>
    <w:uiPriority w:val="9"/>
    <w:rsid w:val="00F61465"/>
    <w:rPr>
      <w:rFonts w:ascii="Garamond" w:hAnsi="Garamond"/>
      <w:b/>
      <w:lang w:eastAsia="nl-NL"/>
    </w:rPr>
  </w:style>
  <w:style w:type="character" w:customStyle="1" w:styleId="Heading6Char">
    <w:name w:val="Heading 6 Char"/>
    <w:basedOn w:val="DefaultParagraphFont"/>
    <w:link w:val="Heading6"/>
    <w:uiPriority w:val="9"/>
    <w:rsid w:val="00F61465"/>
    <w:rPr>
      <w:rFonts w:ascii="Garamond" w:hAnsi="Garamond"/>
      <w:b/>
    </w:rPr>
  </w:style>
  <w:style w:type="character" w:customStyle="1" w:styleId="Heading7Char">
    <w:name w:val="Heading 7 Char"/>
    <w:basedOn w:val="DefaultParagraphFont"/>
    <w:link w:val="Heading7"/>
    <w:uiPriority w:val="9"/>
    <w:rsid w:val="00F61465"/>
    <w:rPr>
      <w:b/>
    </w:rPr>
  </w:style>
  <w:style w:type="character" w:customStyle="1" w:styleId="Heading8Char">
    <w:name w:val="Heading 8 Char"/>
    <w:basedOn w:val="DefaultParagraphFont"/>
    <w:link w:val="Heading8"/>
    <w:uiPriority w:val="9"/>
    <w:rsid w:val="00F61465"/>
    <w:rPr>
      <w:rFonts w:ascii="Garamond" w:hAnsi="Garamond"/>
      <w:b/>
      <w:i/>
    </w:rPr>
  </w:style>
  <w:style w:type="character" w:customStyle="1" w:styleId="Heading9Char">
    <w:name w:val="Heading 9 Char"/>
    <w:basedOn w:val="DefaultParagraphFont"/>
    <w:link w:val="Heading9"/>
    <w:uiPriority w:val="9"/>
    <w:rsid w:val="00F61465"/>
    <w:rPr>
      <w:b/>
      <w:sz w:val="28"/>
    </w:rPr>
  </w:style>
  <w:style w:type="paragraph" w:styleId="Caption">
    <w:name w:val="caption"/>
    <w:basedOn w:val="Normal"/>
    <w:next w:val="Normal"/>
    <w:uiPriority w:val="35"/>
    <w:qFormat/>
    <w:rsid w:val="00F61465"/>
    <w:pPr>
      <w:overflowPunct w:val="0"/>
      <w:autoSpaceDE w:val="0"/>
      <w:autoSpaceDN w:val="0"/>
      <w:adjustRightInd w:val="0"/>
      <w:ind w:left="2124" w:firstLine="708"/>
      <w:textAlignment w:val="baseline"/>
    </w:pPr>
    <w:rPr>
      <w:rFonts w:ascii="Garamond" w:hAnsi="Garamond"/>
      <w:b/>
      <w:bCs/>
    </w:rPr>
  </w:style>
  <w:style w:type="paragraph" w:styleId="Title">
    <w:name w:val="Title"/>
    <w:basedOn w:val="Normal"/>
    <w:link w:val="TitleChar"/>
    <w:uiPriority w:val="10"/>
    <w:qFormat/>
    <w:rsid w:val="00F61465"/>
    <w:pPr>
      <w:spacing w:line="240" w:lineRule="atLeast"/>
      <w:ind w:right="-367"/>
      <w:jc w:val="center"/>
    </w:pPr>
    <w:rPr>
      <w:b/>
      <w:sz w:val="18"/>
    </w:rPr>
  </w:style>
  <w:style w:type="character" w:customStyle="1" w:styleId="TitleChar">
    <w:name w:val="Title Char"/>
    <w:basedOn w:val="DefaultParagraphFont"/>
    <w:link w:val="Title"/>
    <w:uiPriority w:val="10"/>
    <w:rsid w:val="00F61465"/>
    <w:rPr>
      <w:b/>
      <w:sz w:val="18"/>
    </w:rPr>
  </w:style>
  <w:style w:type="paragraph" w:styleId="ListParagraph">
    <w:name w:val="List Paragraph"/>
    <w:basedOn w:val="Normal"/>
    <w:uiPriority w:val="34"/>
    <w:qFormat/>
    <w:rsid w:val="00F61465"/>
    <w:pPr>
      <w:autoSpaceDE w:val="0"/>
      <w:autoSpaceDN w:val="0"/>
      <w:adjustRightInd w:val="0"/>
      <w:ind w:left="720"/>
      <w:contextualSpacing/>
    </w:pPr>
    <w:rPr>
      <w:lang w:val="de-DE" w:eastAsia="en-MY"/>
    </w:rPr>
  </w:style>
  <w:style w:type="paragraph" w:styleId="Footer">
    <w:name w:val="footer"/>
    <w:basedOn w:val="Normal"/>
    <w:link w:val="FooterChar"/>
    <w:rsid w:val="00F52C21"/>
    <w:pPr>
      <w:tabs>
        <w:tab w:val="center" w:pos="4320"/>
        <w:tab w:val="right" w:pos="9360"/>
      </w:tabs>
    </w:pPr>
    <w:rPr>
      <w:sz w:val="18"/>
    </w:rPr>
  </w:style>
  <w:style w:type="character" w:customStyle="1" w:styleId="FooterChar">
    <w:name w:val="Footer Char"/>
    <w:basedOn w:val="DefaultParagraphFont"/>
    <w:link w:val="Footer"/>
    <w:rsid w:val="00F52C21"/>
    <w:rPr>
      <w:rFonts w:ascii="Times New Roman" w:eastAsia="MS Mincho" w:hAnsi="Times New Roman" w:cs="Times New Roman"/>
      <w:bCs w:val="0"/>
      <w:color w:val="auto"/>
      <w:sz w:val="18"/>
      <w:szCs w:val="24"/>
      <w:lang w:eastAsia="ja-JP"/>
    </w:rPr>
  </w:style>
  <w:style w:type="character" w:styleId="Hyperlink">
    <w:name w:val="Hyperlink"/>
    <w:rsid w:val="00F52C21"/>
    <w:rPr>
      <w:color w:val="0000FF"/>
      <w:u w:val="single"/>
    </w:rPr>
  </w:style>
  <w:style w:type="paragraph" w:styleId="NormalWeb">
    <w:name w:val="Normal (Web)"/>
    <w:basedOn w:val="Normal"/>
    <w:rsid w:val="00F52C21"/>
    <w:pPr>
      <w:spacing w:before="100" w:after="100"/>
    </w:pPr>
    <w:rPr>
      <w:rFonts w:ascii="Arial Unicode MS" w:eastAsia="Arial Unicode MS" w:hAnsi="Arial Unicode MS"/>
    </w:rPr>
  </w:style>
  <w:style w:type="character" w:styleId="PageNumber">
    <w:name w:val="page number"/>
    <w:basedOn w:val="DefaultParagraphFont"/>
    <w:rsid w:val="00F52C21"/>
  </w:style>
  <w:style w:type="paragraph" w:styleId="Header">
    <w:name w:val="header"/>
    <w:basedOn w:val="Normal"/>
    <w:link w:val="HeaderChar"/>
    <w:uiPriority w:val="99"/>
    <w:semiHidden/>
    <w:unhideWhenUsed/>
    <w:rsid w:val="00F52C21"/>
    <w:pPr>
      <w:tabs>
        <w:tab w:val="center" w:pos="4680"/>
        <w:tab w:val="right" w:pos="9360"/>
      </w:tabs>
    </w:pPr>
  </w:style>
  <w:style w:type="character" w:customStyle="1" w:styleId="HeaderChar">
    <w:name w:val="Header Char"/>
    <w:basedOn w:val="DefaultParagraphFont"/>
    <w:link w:val="Header"/>
    <w:uiPriority w:val="99"/>
    <w:semiHidden/>
    <w:rsid w:val="00F52C21"/>
    <w:rPr>
      <w:rFonts w:ascii="Times New Roman" w:eastAsia="MS Mincho" w:hAnsi="Times New Roman" w:cs="Times New Roman"/>
      <w:bCs w:val="0"/>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licensing/licensing-options/for-industries.aspx"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microsoft.com/industry/publicsector/government/default.mspx" TargetMode="External"/><Relationship Id="rId12" Type="http://schemas.openxmlformats.org/officeDocument/2006/relationships/hyperlink" Target="http://www.microsoft.com/refurbishedpcs/Program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microsoft.com/licensing/licensing-options/for-industries.aspx" TargetMode="External"/><Relationship Id="rId11" Type="http://schemas.openxmlformats.org/officeDocument/2006/relationships/hyperlink" Target="http://www.microsoft.com/licensing/licensing-options/for-industries.aspx" TargetMode="External"/><Relationship Id="rId5" Type="http://schemas.openxmlformats.org/officeDocument/2006/relationships/hyperlink" Target="http://www.microsoft.com/licensing/licensing-options/for-industries.aspx" TargetMode="External"/><Relationship Id="rId15" Type="http://schemas.openxmlformats.org/officeDocument/2006/relationships/footer" Target="footer1.xml"/><Relationship Id="rId10" Type="http://schemas.openxmlformats.org/officeDocument/2006/relationships/hyperlink" Target="http://www.microsoft.com/licensing/licensing-options/for-industr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crosoft.com/licensing/licensing-options/for-industries.aspx"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82D18D991EE419502DFD074F1A35D" ma:contentTypeVersion="0" ma:contentTypeDescription="Create a new document." ma:contentTypeScope="" ma:versionID="f591f9c2ace5a69f35d81af97ea49c5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62D5D-0C43-41E3-9C9B-135274CE567B}"/>
</file>

<file path=customXml/itemProps2.xml><?xml version="1.0" encoding="utf-8"?>
<ds:datastoreItem xmlns:ds="http://schemas.openxmlformats.org/officeDocument/2006/customXml" ds:itemID="{03983FB5-C4E8-4ACA-A987-6F4E12F2347F}"/>
</file>

<file path=customXml/itemProps3.xml><?xml version="1.0" encoding="utf-8"?>
<ds:datastoreItem xmlns:ds="http://schemas.openxmlformats.org/officeDocument/2006/customXml" ds:itemID="{44F1C083-E64B-4811-863B-D8CE3E822AFC}"/>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Morrissey (Inviso)</dc:creator>
  <cp:keywords/>
  <dc:description/>
  <cp:lastModifiedBy>Zachary Morrissey (Inviso)</cp:lastModifiedBy>
  <cp:revision>2</cp:revision>
  <dcterms:created xsi:type="dcterms:W3CDTF">2013-09-09T18:49:00Z</dcterms:created>
  <dcterms:modified xsi:type="dcterms:W3CDTF">2013-09-09T18:49:00Z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0x01010032A82D18D991EE419502DFD074F1A35D</vt:lpwstr>
  </property>
</Properties>
</file>